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6F61DE55" w:rsidR="000B5698" w:rsidRPr="00AC3CD2" w:rsidRDefault="000B5698" w:rsidP="000B5698">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#11</w:t>
      </w:r>
      <w:r w:rsidR="00B12753" w:rsidRPr="00AC3CD2">
        <w:rPr>
          <w:rFonts w:eastAsiaTheme="minorHAnsi" w:cs="Arial"/>
          <w:b/>
          <w:bCs/>
          <w:sz w:val="24"/>
          <w:szCs w:val="24"/>
          <w:lang w:val="en-US"/>
        </w:rPr>
        <w:t>9</w:t>
      </w:r>
      <w:r w:rsidRPr="00AC3CD2">
        <w:rPr>
          <w:rFonts w:eastAsiaTheme="minorHAnsi" w:cs="Arial"/>
          <w:b/>
          <w:bCs/>
          <w:sz w:val="24"/>
          <w:szCs w:val="24"/>
          <w:lang w:val="en-US"/>
        </w:rPr>
        <w:t>-e</w:t>
      </w:r>
      <w:r w:rsidRPr="00AC3CD2">
        <w:rPr>
          <w:rFonts w:eastAsiaTheme="minorHAnsi" w:cs="Arial"/>
          <w:b/>
          <w:bCs/>
          <w:sz w:val="24"/>
          <w:szCs w:val="24"/>
          <w:lang w:val="en-US"/>
        </w:rPr>
        <w:tab/>
        <w:t xml:space="preserve">                                    </w:t>
      </w:r>
      <w:r w:rsidR="00C617BD">
        <w:rPr>
          <w:rFonts w:eastAsiaTheme="minorHAnsi" w:cs="Arial"/>
          <w:b/>
          <w:bCs/>
          <w:sz w:val="24"/>
          <w:szCs w:val="24"/>
          <w:lang w:val="en-US"/>
        </w:rPr>
        <w:tab/>
      </w:r>
      <w:r w:rsidR="00C617BD">
        <w:rPr>
          <w:rFonts w:eastAsiaTheme="minorHAnsi" w:cs="Arial"/>
          <w:b/>
          <w:bCs/>
          <w:sz w:val="24"/>
          <w:szCs w:val="24"/>
          <w:lang w:val="en-US"/>
        </w:rPr>
        <w:tab/>
      </w:r>
      <w:r w:rsidR="00C617BD">
        <w:rPr>
          <w:rFonts w:eastAsiaTheme="minorHAnsi" w:cs="Arial"/>
          <w:b/>
          <w:bCs/>
          <w:sz w:val="24"/>
          <w:szCs w:val="24"/>
          <w:lang w:val="en-US"/>
        </w:rPr>
        <w:tab/>
      </w:r>
      <w:r w:rsidRPr="00AC3CD2">
        <w:rPr>
          <w:rFonts w:eastAsiaTheme="minorHAnsi" w:cs="Arial"/>
          <w:b/>
          <w:bCs/>
          <w:sz w:val="24"/>
          <w:szCs w:val="24"/>
          <w:lang w:val="en-US"/>
        </w:rPr>
        <w:t>R2-22</w:t>
      </w:r>
      <w:r w:rsidR="003A7865">
        <w:rPr>
          <w:rFonts w:eastAsiaTheme="minorHAnsi" w:cs="Arial"/>
          <w:b/>
          <w:bCs/>
          <w:sz w:val="24"/>
          <w:szCs w:val="24"/>
          <w:lang w:val="en-US"/>
        </w:rPr>
        <w:t>08189</w:t>
      </w:r>
    </w:p>
    <w:p w14:paraId="109487DA" w14:textId="4A102ECE" w:rsidR="000B5698" w:rsidRPr="00AC3CD2"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AC3CD2">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sidR="00B12753" w:rsidRPr="00AC3CD2">
        <w:rPr>
          <w:rFonts w:eastAsiaTheme="minorEastAsia" w:cs="Arial"/>
          <w:b/>
          <w:bCs/>
          <w:sz w:val="24"/>
          <w:szCs w:val="24"/>
          <w:lang w:val="en-US" w:eastAsia="ko-KR"/>
        </w:rPr>
        <w:t>17</w:t>
      </w:r>
      <w:r w:rsidR="00B12753" w:rsidRPr="00AC3CD2">
        <w:rPr>
          <w:rFonts w:eastAsiaTheme="minorEastAsia" w:cs="Arial"/>
          <w:b/>
          <w:bCs/>
          <w:sz w:val="24"/>
          <w:szCs w:val="24"/>
          <w:vertAlign w:val="superscript"/>
          <w:lang w:val="en-US" w:eastAsia="ko-KR"/>
        </w:rPr>
        <w:t>th</w:t>
      </w:r>
      <w:r w:rsidR="00B12753" w:rsidRPr="00AC3CD2">
        <w:rPr>
          <w:rFonts w:eastAsiaTheme="minorEastAsia" w:cs="Arial"/>
          <w:b/>
          <w:bCs/>
          <w:sz w:val="24"/>
          <w:szCs w:val="24"/>
          <w:lang w:val="en-US" w:eastAsia="ko-KR"/>
        </w:rPr>
        <w:t xml:space="preserve"> – 2</w:t>
      </w:r>
      <w:r w:rsidR="003A7865">
        <w:rPr>
          <w:rFonts w:eastAsiaTheme="minorEastAsia" w:cs="Arial"/>
          <w:b/>
          <w:bCs/>
          <w:sz w:val="24"/>
          <w:szCs w:val="24"/>
          <w:lang w:val="en-US" w:eastAsia="ko-KR"/>
        </w:rPr>
        <w:t>9</w:t>
      </w:r>
      <w:r w:rsidR="00B12753" w:rsidRPr="00AC3CD2">
        <w:rPr>
          <w:rFonts w:eastAsiaTheme="minorEastAsia" w:cs="Arial"/>
          <w:b/>
          <w:bCs/>
          <w:sz w:val="24"/>
          <w:szCs w:val="24"/>
          <w:vertAlign w:val="superscript"/>
          <w:lang w:val="en-US" w:eastAsia="ko-KR"/>
        </w:rPr>
        <w:t>th</w:t>
      </w:r>
      <w:r w:rsidR="00B12753" w:rsidRPr="00AC3CD2">
        <w:rPr>
          <w:rFonts w:eastAsiaTheme="minorEastAsia" w:cs="Arial"/>
          <w:b/>
          <w:bCs/>
          <w:sz w:val="24"/>
          <w:szCs w:val="24"/>
          <w:lang w:val="en-US" w:eastAsia="ko-KR"/>
        </w:rPr>
        <w:t xml:space="preserve"> </w:t>
      </w:r>
      <w:proofErr w:type="gramStart"/>
      <w:r w:rsidR="00B12753" w:rsidRPr="00AC3CD2">
        <w:rPr>
          <w:rFonts w:eastAsiaTheme="minorEastAsia" w:cs="Arial"/>
          <w:b/>
          <w:bCs/>
          <w:sz w:val="24"/>
          <w:szCs w:val="24"/>
          <w:lang w:val="en-US" w:eastAsia="ko-KR"/>
        </w:rPr>
        <w:t>August</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69E06216"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387E49" w:rsidRPr="00AC3CD2">
        <w:rPr>
          <w:rFonts w:cs="Arial"/>
          <w:b/>
          <w:bCs/>
          <w:sz w:val="24"/>
          <w:szCs w:val="24"/>
          <w:lang w:val="en-US"/>
        </w:rPr>
        <w:t>8.</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3C75561C"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465087" w:rsidRPr="00AC3CD2">
        <w:rPr>
          <w:rFonts w:ascii="Arial" w:hAnsi="Arial" w:cs="Arial"/>
          <w:b/>
          <w:bCs/>
          <w:sz w:val="24"/>
          <w:szCs w:val="24"/>
        </w:rPr>
        <w:t>IoT-NTN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r w:rsidR="00FE1F7F" w:rsidRPr="00AC3CD2">
        <w:rPr>
          <w:rFonts w:ascii="Arial" w:hAnsi="Arial" w:cs="Arial"/>
          <w:b/>
          <w:bCs/>
          <w:sz w:val="24"/>
          <w:szCs w:val="24"/>
        </w:rPr>
        <w:t xml:space="preserve">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4F2CED5"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7B7AD2">
        <w:rPr>
          <w:rFonts w:ascii="Arial" w:hAnsi="Arial" w:cs="Arial"/>
          <w:lang w:val="en-US"/>
        </w:rPr>
        <w:t>discontinuous coverage</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7B7AD2">
        <w:tc>
          <w:tcPr>
            <w:tcW w:w="9629" w:type="dxa"/>
          </w:tcPr>
          <w:p w14:paraId="6215F053" w14:textId="485417F5" w:rsidR="00B64ACB" w:rsidRPr="007B7AD2" w:rsidRDefault="00C17C32" w:rsidP="007B7AD2">
            <w:pPr>
              <w:pStyle w:val="B1"/>
            </w:pPr>
            <w:r w:rsidRPr="00AC3CD2">
              <w:rPr>
                <w:rFonts w:ascii="Arial" w:hAnsi="Arial" w:cs="Arial"/>
              </w:rPr>
              <w:t>-</w:t>
            </w:r>
            <w:r w:rsidRPr="00AC3CD2">
              <w:rPr>
                <w:rFonts w:ascii="Arial" w:hAnsi="Arial" w:cs="Arial"/>
              </w:rPr>
              <w:tab/>
            </w:r>
            <w:r w:rsidR="007B7AD2">
              <w:t>-</w:t>
            </w:r>
            <w:r w:rsidR="007B7AD2">
              <w:tab/>
            </w:r>
            <w:r w:rsidR="007B7AD2" w:rsidRPr="00D13315">
              <w:t xml:space="preserve">Study and specify, if needed, mobility management enhancements and power saving enhancements for discontinuous coverage, </w:t>
            </w:r>
            <w:proofErr w:type="gramStart"/>
            <w:r w:rsidR="007B7AD2" w:rsidRPr="00D13315">
              <w:t>t</w:t>
            </w:r>
            <w:r w:rsidR="007B7AD2" w:rsidRPr="0043105E">
              <w:t>aking in</w:t>
            </w:r>
            <w:r w:rsidR="007B7AD2" w:rsidRPr="00430A8D">
              <w:t>to account</w:t>
            </w:r>
            <w:proofErr w:type="gramEnd"/>
            <w:r w:rsidR="007B7AD2" w:rsidRPr="00430A8D">
              <w:t xml:space="preserve"> </w:t>
            </w:r>
            <w:r w:rsidR="007B7AD2" w:rsidRPr="00D13315">
              <w:t xml:space="preserve">the conclusions from the SA2 study </w:t>
            </w:r>
            <w:r w:rsidR="007B7AD2" w:rsidRPr="00430A8D">
              <w:t>FS_5GSAT_Ph2.</w:t>
            </w:r>
            <w:r w:rsidR="007B7AD2" w:rsidRPr="00D13315">
              <w:t xml:space="preserve">  [RAN2, RAN3].</w:t>
            </w:r>
          </w:p>
        </w:tc>
      </w:tr>
    </w:tbl>
    <w:p w14:paraId="26C535DD" w14:textId="77777777" w:rsidR="00B64ACB" w:rsidRPr="00AC3CD2" w:rsidRDefault="00B64ACB" w:rsidP="00E06B61">
      <w:pPr>
        <w:jc w:val="both"/>
        <w:rPr>
          <w:rFonts w:ascii="Arial" w:hAnsi="Arial" w:cs="Arial"/>
          <w:lang w:val="en-US"/>
        </w:rPr>
      </w:pPr>
    </w:p>
    <w:p w14:paraId="3D9A87E5" w14:textId="525C851F"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discuss the </w:t>
      </w:r>
      <w:r w:rsidR="00523801" w:rsidRPr="00AC3CD2">
        <w:rPr>
          <w:rFonts w:ascii="Arial" w:hAnsi="Arial" w:cs="Arial"/>
          <w:lang w:val="en-US"/>
        </w:rPr>
        <w:t>potential impact.</w:t>
      </w:r>
    </w:p>
    <w:p w14:paraId="552A99B5" w14:textId="22B0A1DD" w:rsidR="0030215B" w:rsidRPr="00AC3CD2" w:rsidRDefault="0039482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Background</w:t>
      </w:r>
    </w:p>
    <w:p w14:paraId="6DF6928D" w14:textId="204AE9CD" w:rsidR="0039482C" w:rsidRPr="00AC3CD2" w:rsidRDefault="0030215B" w:rsidP="00CE1EF1">
      <w:pPr>
        <w:pStyle w:val="Heading2"/>
        <w:rPr>
          <w:rFonts w:ascii="Arial" w:hAnsi="Arial"/>
        </w:rPr>
      </w:pPr>
      <w:r w:rsidRPr="00AC3CD2">
        <w:rPr>
          <w:rStyle w:val="Emphasis"/>
          <w:rFonts w:ascii="Arial" w:hAnsi="Arial"/>
          <w:i w:val="0"/>
          <w:iCs/>
        </w:rPr>
        <w:t>2.1</w:t>
      </w:r>
      <w:r w:rsidRPr="00AC3CD2">
        <w:rPr>
          <w:rStyle w:val="Emphasis"/>
          <w:rFonts w:ascii="Arial" w:hAnsi="Arial"/>
          <w:i w:val="0"/>
          <w:iCs/>
        </w:rPr>
        <w:tab/>
      </w:r>
      <w:r w:rsidR="007B7AD2">
        <w:rPr>
          <w:rStyle w:val="Emphasis"/>
          <w:rFonts w:ascii="Arial" w:hAnsi="Arial"/>
          <w:i w:val="0"/>
          <w:iCs/>
        </w:rPr>
        <w:t>Discontinuous coverage enhancement</w:t>
      </w:r>
      <w:r w:rsidR="00CE1EF1" w:rsidRPr="00AC3CD2">
        <w:rPr>
          <w:rStyle w:val="Emphasis"/>
          <w:rFonts w:ascii="Arial" w:hAnsi="Arial"/>
          <w:i w:val="0"/>
          <w:iCs/>
        </w:rPr>
        <w:t xml:space="preserve"> </w:t>
      </w:r>
      <w:proofErr w:type="gramStart"/>
      <w:r w:rsidR="00CE1EF1" w:rsidRPr="00AC3CD2">
        <w:rPr>
          <w:rStyle w:val="Emphasis"/>
          <w:rFonts w:ascii="Arial" w:hAnsi="Arial"/>
          <w:i w:val="0"/>
          <w:iCs/>
        </w:rPr>
        <w:t>in</w:t>
      </w:r>
      <w:r w:rsidR="00C17C32" w:rsidRPr="00AC3CD2">
        <w:rPr>
          <w:rStyle w:val="Emphasis"/>
          <w:rFonts w:ascii="Arial" w:hAnsi="Arial"/>
          <w:i w:val="0"/>
          <w:iCs/>
        </w:rPr>
        <w:t xml:space="preserve"> </w:t>
      </w:r>
      <w:r w:rsidRPr="00AC3CD2">
        <w:rPr>
          <w:rStyle w:val="Emphasis"/>
          <w:rFonts w:ascii="Arial" w:eastAsia="Times New Roman" w:hAnsi="Arial"/>
          <w:i w:val="0"/>
          <w:iCs/>
        </w:rPr>
        <w:t xml:space="preserve"> Rel</w:t>
      </w:r>
      <w:proofErr w:type="gramEnd"/>
      <w:r w:rsidRPr="00AC3CD2">
        <w:rPr>
          <w:rStyle w:val="Emphasis"/>
          <w:rFonts w:ascii="Arial" w:eastAsia="Times New Roman" w:hAnsi="Arial"/>
          <w:i w:val="0"/>
          <w:iCs/>
        </w:rPr>
        <w:t xml:space="preserve">-17 </w:t>
      </w:r>
      <w:r w:rsidR="00CE1EF1" w:rsidRPr="00AC3CD2">
        <w:rPr>
          <w:rStyle w:val="Emphasis"/>
          <w:rFonts w:ascii="Arial" w:eastAsia="Times New Roman" w:hAnsi="Arial"/>
          <w:i w:val="0"/>
          <w:iCs/>
        </w:rPr>
        <w:t>NB-IoT</w:t>
      </w:r>
    </w:p>
    <w:p w14:paraId="50960718" w14:textId="77777777" w:rsidR="00F84AD9" w:rsidRPr="00AC3CD2" w:rsidRDefault="00F84AD9" w:rsidP="00486FBF">
      <w:pPr>
        <w:rPr>
          <w:rFonts w:ascii="Arial" w:hAnsi="Arial" w:cs="Arial"/>
          <w:lang w:val="en-US"/>
        </w:rPr>
      </w:pPr>
    </w:p>
    <w:p w14:paraId="238BBEE4" w14:textId="07A4F7FE" w:rsidR="00357BA9" w:rsidRDefault="007B7AD2" w:rsidP="00675D75">
      <w:pPr>
        <w:rPr>
          <w:rFonts w:ascii="Arial" w:hAnsi="Arial" w:cs="Arial"/>
          <w:lang w:val="en-US"/>
        </w:rPr>
      </w:pPr>
      <w:r>
        <w:rPr>
          <w:rFonts w:ascii="Arial" w:hAnsi="Arial" w:cs="Arial"/>
          <w:lang w:val="en-US"/>
        </w:rPr>
        <w:t>In Rel-17</w:t>
      </w:r>
      <w:r w:rsidR="009A0018">
        <w:rPr>
          <w:rFonts w:ascii="Arial" w:hAnsi="Arial" w:cs="Arial"/>
          <w:lang w:val="en-US"/>
        </w:rPr>
        <w:t>, due to lack of time, only the information broadcast in SIB</w:t>
      </w:r>
      <w:r w:rsidR="00814F1E">
        <w:rPr>
          <w:rFonts w:ascii="Arial" w:hAnsi="Arial" w:cs="Arial"/>
          <w:lang w:val="en-US"/>
        </w:rPr>
        <w:t>32/SIB32-NB</w:t>
      </w:r>
      <w:r w:rsidR="009A0018">
        <w:rPr>
          <w:rFonts w:ascii="Arial" w:hAnsi="Arial" w:cs="Arial"/>
          <w:lang w:val="en-US"/>
        </w:rPr>
        <w:t xml:space="preserve"> is specified, and</w:t>
      </w:r>
      <w:r>
        <w:rPr>
          <w:rFonts w:ascii="Arial" w:hAnsi="Arial" w:cs="Arial"/>
          <w:lang w:val="en-US"/>
        </w:rPr>
        <w:t xml:space="preserve"> it’s up to UE implementation</w:t>
      </w:r>
      <w:r w:rsidR="009A0018">
        <w:rPr>
          <w:rFonts w:ascii="Arial" w:hAnsi="Arial" w:cs="Arial"/>
          <w:lang w:val="en-US"/>
        </w:rPr>
        <w:t xml:space="preserve"> what to do during discontinuous coverage in RRC_IDLE and how to handle running timers and so on. The UE may choose not to perform idle mode tasks while in discontinuous coverage. </w:t>
      </w:r>
      <w:r w:rsidR="00675D75">
        <w:rPr>
          <w:rFonts w:ascii="Arial" w:hAnsi="Arial" w:cs="Arial"/>
          <w:lang w:val="en-US"/>
        </w:rPr>
        <w:t>Since most of the behavior is left to UE implementation t</w:t>
      </w:r>
      <w:r w:rsidR="009A0018">
        <w:rPr>
          <w:rFonts w:ascii="Arial" w:hAnsi="Arial" w:cs="Arial"/>
          <w:lang w:val="en-US"/>
        </w:rPr>
        <w:t>he benefit of the information broadcast in SIB</w:t>
      </w:r>
      <w:r w:rsidR="00D97FF5">
        <w:rPr>
          <w:rFonts w:ascii="Arial" w:hAnsi="Arial" w:cs="Arial"/>
          <w:lang w:val="en-US"/>
        </w:rPr>
        <w:t>32</w:t>
      </w:r>
      <w:r w:rsidR="00814F1E">
        <w:rPr>
          <w:rFonts w:ascii="Arial" w:hAnsi="Arial" w:cs="Arial"/>
          <w:lang w:val="en-US"/>
        </w:rPr>
        <w:t>/SIB32</w:t>
      </w:r>
      <w:r w:rsidR="00D97FF5">
        <w:rPr>
          <w:rFonts w:ascii="Arial" w:hAnsi="Arial" w:cs="Arial"/>
          <w:lang w:val="en-US"/>
        </w:rPr>
        <w:t>-NB</w:t>
      </w:r>
      <w:r w:rsidR="009A0018">
        <w:rPr>
          <w:rFonts w:ascii="Arial" w:hAnsi="Arial" w:cs="Arial"/>
          <w:lang w:val="en-US"/>
        </w:rPr>
        <w:t xml:space="preserve"> is limited.</w:t>
      </w:r>
    </w:p>
    <w:p w14:paraId="5ECA79A7" w14:textId="18A9E638" w:rsidR="00814F1E" w:rsidRDefault="00814F1E" w:rsidP="00675D75">
      <w:pPr>
        <w:rPr>
          <w:rFonts w:ascii="Arial" w:hAnsi="Arial" w:cs="Arial"/>
          <w:lang w:val="en-US"/>
        </w:rPr>
      </w:pPr>
    </w:p>
    <w:p w14:paraId="48F1B10F" w14:textId="6948E9F7" w:rsidR="00814F1E" w:rsidRDefault="00814F1E" w:rsidP="00675D75">
      <w:pPr>
        <w:rPr>
          <w:rFonts w:ascii="Arial" w:hAnsi="Arial" w:cs="Arial"/>
          <w:lang w:val="en-US"/>
        </w:rPr>
      </w:pPr>
      <w:r>
        <w:rPr>
          <w:rFonts w:ascii="Arial" w:hAnsi="Arial" w:cs="Arial"/>
          <w:lang w:val="en-US"/>
        </w:rPr>
        <w:t>The following parameters are provided (</w:t>
      </w:r>
      <w:r w:rsidR="0040551E">
        <w:rPr>
          <w:rFonts w:ascii="Arial" w:hAnsi="Arial" w:cs="Arial"/>
          <w:lang w:val="en-US"/>
        </w:rPr>
        <w:t>same IE is used in both SIB32/SIB32-NB)</w:t>
      </w:r>
    </w:p>
    <w:p w14:paraId="663248F8" w14:textId="3226312E" w:rsidR="00814F1E" w:rsidRDefault="00814F1E" w:rsidP="00675D75">
      <w:pPr>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8176E" w:rsidRPr="0088176E" w14:paraId="440363FA" w14:textId="77777777" w:rsidTr="00F248BF">
        <w:trPr>
          <w:cantSplit/>
          <w:tblHeader/>
        </w:trPr>
        <w:tc>
          <w:tcPr>
            <w:tcW w:w="9639" w:type="dxa"/>
          </w:tcPr>
          <w:p w14:paraId="5A532D72" w14:textId="77777777" w:rsidR="0088176E" w:rsidRPr="0088176E" w:rsidRDefault="0088176E" w:rsidP="0088176E">
            <w:pPr>
              <w:keepNext/>
              <w:keepLines/>
              <w:overflowPunct w:val="0"/>
              <w:autoSpaceDE w:val="0"/>
              <w:autoSpaceDN w:val="0"/>
              <w:adjustRightInd w:val="0"/>
              <w:jc w:val="center"/>
              <w:textAlignment w:val="baseline"/>
              <w:rPr>
                <w:rFonts w:ascii="Arial" w:eastAsia="Times New Roman" w:hAnsi="Arial"/>
                <w:b/>
                <w:sz w:val="18"/>
                <w:lang w:eastAsia="en-GB"/>
              </w:rPr>
            </w:pPr>
            <w:r w:rsidRPr="0088176E">
              <w:rPr>
                <w:rFonts w:ascii="Arial" w:eastAsia="Times New Roman" w:hAnsi="Arial"/>
                <w:b/>
                <w:i/>
                <w:iCs/>
                <w:sz w:val="18"/>
                <w:lang w:eastAsia="en-GB"/>
              </w:rPr>
              <w:lastRenderedPageBreak/>
              <w:t>SystemInformationBlockType32</w:t>
            </w:r>
            <w:r w:rsidRPr="0088176E">
              <w:rPr>
                <w:rFonts w:ascii="Arial" w:eastAsia="Times New Roman" w:hAnsi="Arial"/>
                <w:b/>
                <w:sz w:val="18"/>
                <w:lang w:eastAsia="en-GB"/>
              </w:rPr>
              <w:t xml:space="preserve"> </w:t>
            </w:r>
            <w:r w:rsidRPr="0088176E">
              <w:rPr>
                <w:rFonts w:ascii="Arial" w:eastAsia="Times New Roman" w:hAnsi="Arial"/>
                <w:b/>
                <w:iCs/>
                <w:sz w:val="18"/>
                <w:lang w:eastAsia="en-GB"/>
              </w:rPr>
              <w:t>field descriptions</w:t>
            </w:r>
          </w:p>
        </w:tc>
      </w:tr>
      <w:tr w:rsidR="0088176E" w:rsidRPr="0088176E" w14:paraId="7E70488F" w14:textId="77777777" w:rsidTr="00F248BF">
        <w:trPr>
          <w:cantSplit/>
          <w:tblHeader/>
        </w:trPr>
        <w:tc>
          <w:tcPr>
            <w:tcW w:w="9639" w:type="dxa"/>
          </w:tcPr>
          <w:p w14:paraId="511F476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elevationAngleLeft</w:t>
            </w:r>
            <w:proofErr w:type="spellEnd"/>
            <w:r w:rsidRPr="0088176E">
              <w:rPr>
                <w:rFonts w:ascii="Arial" w:eastAsia="Times New Roman" w:hAnsi="Arial"/>
                <w:b/>
                <w:bCs/>
                <w:i/>
                <w:iCs/>
                <w:kern w:val="2"/>
                <w:sz w:val="18"/>
                <w:lang w:eastAsia="ja-JP"/>
              </w:rPr>
              <w:t xml:space="preserve">, </w:t>
            </w:r>
            <w:proofErr w:type="spellStart"/>
            <w:r w:rsidRPr="0088176E">
              <w:rPr>
                <w:rFonts w:ascii="Arial" w:eastAsia="Times New Roman" w:hAnsi="Arial"/>
                <w:b/>
                <w:bCs/>
                <w:i/>
                <w:iCs/>
                <w:kern w:val="2"/>
                <w:sz w:val="18"/>
                <w:lang w:eastAsia="ja-JP"/>
              </w:rPr>
              <w:t>elevationAngleRight</w:t>
            </w:r>
            <w:proofErr w:type="spellEnd"/>
          </w:p>
          <w:p w14:paraId="3804507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sz w:val="18"/>
                <w:lang w:eastAsia="ja-JP"/>
              </w:rPr>
              <w:t>Leftmost and rightmost (with reference to the satellite direction) elevation angle. Unit in degree.</w:t>
            </w:r>
          </w:p>
          <w:p w14:paraId="188F57E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zh-CN"/>
              </w:rPr>
            </w:pPr>
            <w:r w:rsidRPr="0088176E">
              <w:rPr>
                <w:rFonts w:ascii="Arial" w:eastAsia="Times New Roman" w:hAnsi="Arial"/>
                <w:sz w:val="18"/>
                <w:lang w:eastAsia="ja-JP"/>
              </w:rPr>
              <w:t xml:space="preserve">Step of 5 degree.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5</w:t>
            </w:r>
            <w:r w:rsidRPr="0088176E">
              <w:rPr>
                <w:rFonts w:ascii="Arial" w:eastAsia="Times New Roman" w:hAnsi="Arial"/>
                <w:sz w:val="18"/>
                <w:lang w:eastAsia="zh-CN"/>
              </w:rPr>
              <w:t>.</w:t>
            </w:r>
          </w:p>
          <w:p w14:paraId="4E2BB94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zh-CN"/>
              </w:rPr>
              <w:t xml:space="preserve">If the field </w:t>
            </w:r>
            <w:proofErr w:type="spellStart"/>
            <w:r w:rsidRPr="0088176E">
              <w:rPr>
                <w:rFonts w:ascii="Arial" w:eastAsia="Times New Roman" w:hAnsi="Arial"/>
                <w:i/>
                <w:sz w:val="18"/>
                <w:lang w:eastAsia="zh-CN"/>
              </w:rPr>
              <w:t>elevationAngleLeft</w:t>
            </w:r>
            <w:proofErr w:type="spellEnd"/>
            <w:r w:rsidRPr="0088176E">
              <w:rPr>
                <w:rFonts w:ascii="Arial" w:eastAsia="Times New Roman" w:hAnsi="Arial"/>
                <w:sz w:val="18"/>
                <w:lang w:eastAsia="zh-CN"/>
              </w:rPr>
              <w:t xml:space="preserve"> is absent, the value of field </w:t>
            </w:r>
            <w:proofErr w:type="spellStart"/>
            <w:r w:rsidRPr="0088176E">
              <w:rPr>
                <w:rFonts w:ascii="Arial" w:eastAsia="Times New Roman" w:hAnsi="Arial"/>
                <w:i/>
                <w:sz w:val="18"/>
                <w:lang w:eastAsia="zh-CN"/>
              </w:rPr>
              <w:t>elevationAngleRight</w:t>
            </w:r>
            <w:proofErr w:type="spellEnd"/>
            <w:r w:rsidRPr="0088176E">
              <w:rPr>
                <w:rFonts w:ascii="Arial" w:eastAsia="Times New Roman" w:hAnsi="Arial"/>
                <w:sz w:val="18"/>
                <w:lang w:eastAsia="zh-CN"/>
              </w:rPr>
              <w:t xml:space="preserve"> applies.</w:t>
            </w:r>
          </w:p>
        </w:tc>
      </w:tr>
      <w:tr w:rsidR="0088176E" w:rsidRPr="0088176E" w14:paraId="68B254B6" w14:textId="77777777" w:rsidTr="00F248BF">
        <w:trPr>
          <w:cantSplit/>
          <w:tblHeader/>
        </w:trPr>
        <w:tc>
          <w:tcPr>
            <w:tcW w:w="9639" w:type="dxa"/>
          </w:tcPr>
          <w:p w14:paraId="349C9FBE"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footprintInfo</w:t>
            </w:r>
            <w:proofErr w:type="spellEnd"/>
          </w:p>
          <w:p w14:paraId="77A9175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Satellite footprint.</w:t>
            </w:r>
          </w:p>
          <w:p w14:paraId="2CF20E5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bCs/>
                <w:iCs/>
                <w:kern w:val="2"/>
                <w:sz w:val="18"/>
                <w:lang w:eastAsia="ja-JP"/>
              </w:rPr>
              <w:t xml:space="preserve">E-UTRAN may configure </w:t>
            </w:r>
            <w:proofErr w:type="spellStart"/>
            <w:r w:rsidRPr="0088176E">
              <w:rPr>
                <w:rFonts w:ascii="Arial" w:eastAsia="Times New Roman" w:hAnsi="Arial"/>
                <w:i/>
                <w:sz w:val="18"/>
                <w:lang w:eastAsia="ja-JP"/>
              </w:rPr>
              <w:t>elevationAngles</w:t>
            </w:r>
            <w:proofErr w:type="spellEnd"/>
            <w:r w:rsidRPr="0088176E">
              <w:rPr>
                <w:rFonts w:ascii="Arial" w:eastAsia="Times New Roman" w:hAnsi="Arial"/>
                <w:sz w:val="18"/>
                <w:lang w:eastAsia="ja-JP"/>
              </w:rPr>
              <w:t xml:space="preserve"> and/or </w:t>
            </w:r>
            <w:r w:rsidRPr="0088176E">
              <w:rPr>
                <w:rFonts w:ascii="Arial" w:eastAsia="Times New Roman" w:hAnsi="Arial"/>
                <w:i/>
                <w:sz w:val="18"/>
                <w:lang w:eastAsia="ja-JP"/>
              </w:rPr>
              <w:t xml:space="preserve">radius </w:t>
            </w:r>
            <w:r w:rsidRPr="0088176E">
              <w:rPr>
                <w:rFonts w:ascii="Arial" w:eastAsia="Times New Roman" w:hAnsi="Arial"/>
                <w:bCs/>
                <w:iCs/>
                <w:kern w:val="2"/>
                <w:sz w:val="18"/>
                <w:lang w:eastAsia="ja-JP"/>
              </w:rPr>
              <w:t>for earth moving satellite</w:t>
            </w:r>
            <w:r w:rsidRPr="0088176E">
              <w:rPr>
                <w:rFonts w:ascii="Arial" w:eastAsia="Times New Roman" w:hAnsi="Arial"/>
                <w:sz w:val="18"/>
                <w:lang w:eastAsia="ja-JP"/>
              </w:rPr>
              <w:t>.</w:t>
            </w:r>
          </w:p>
          <w:p w14:paraId="5D1E265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may configure </w:t>
            </w:r>
            <w:proofErr w:type="spellStart"/>
            <w:r w:rsidRPr="0088176E">
              <w:rPr>
                <w:rFonts w:ascii="Arial" w:eastAsia="Times New Roman" w:hAnsi="Arial"/>
                <w:i/>
                <w:sz w:val="18"/>
                <w:lang w:eastAsia="ja-JP"/>
              </w:rPr>
              <w:t>referencePoint</w:t>
            </w:r>
            <w:proofErr w:type="spellEnd"/>
            <w:r w:rsidRPr="0088176E">
              <w:rPr>
                <w:rFonts w:ascii="Arial" w:eastAsia="Times New Roman" w:hAnsi="Arial"/>
                <w:i/>
                <w:sz w:val="18"/>
                <w:lang w:eastAsia="ja-JP"/>
              </w:rPr>
              <w:t xml:space="preserve"> </w:t>
            </w:r>
            <w:r w:rsidRPr="0088176E">
              <w:rPr>
                <w:rFonts w:ascii="Arial" w:eastAsia="Times New Roman" w:hAnsi="Arial"/>
                <w:sz w:val="18"/>
                <w:lang w:eastAsia="ja-JP"/>
              </w:rPr>
              <w:t xml:space="preserve">and </w:t>
            </w:r>
            <w:r w:rsidRPr="0088176E">
              <w:rPr>
                <w:rFonts w:ascii="Arial" w:eastAsia="Times New Roman" w:hAnsi="Arial"/>
                <w:i/>
                <w:sz w:val="18"/>
                <w:lang w:eastAsia="ja-JP"/>
              </w:rPr>
              <w:t xml:space="preserve">radius </w:t>
            </w:r>
            <w:r w:rsidRPr="0088176E">
              <w:rPr>
                <w:rFonts w:ascii="Arial" w:eastAsia="Times New Roman" w:hAnsi="Arial"/>
                <w:sz w:val="18"/>
                <w:lang w:eastAsia="ja-JP"/>
              </w:rPr>
              <w:t>f</w:t>
            </w:r>
            <w:r w:rsidRPr="0088176E">
              <w:rPr>
                <w:rFonts w:ascii="Arial" w:eastAsia="Times New Roman" w:hAnsi="Arial"/>
                <w:bCs/>
                <w:iCs/>
                <w:kern w:val="2"/>
                <w:sz w:val="18"/>
                <w:lang w:eastAsia="ja-JP"/>
              </w:rPr>
              <w:t>or quasi earth fixed satellite</w:t>
            </w:r>
            <w:r w:rsidRPr="0088176E">
              <w:rPr>
                <w:rFonts w:ascii="Arial" w:eastAsia="Times New Roman" w:hAnsi="Arial"/>
                <w:sz w:val="18"/>
                <w:lang w:eastAsia="ja-JP"/>
              </w:rPr>
              <w:t>.</w:t>
            </w:r>
          </w:p>
        </w:tc>
      </w:tr>
      <w:tr w:rsidR="0088176E" w:rsidRPr="0088176E" w14:paraId="1A1433E3" w14:textId="77777777" w:rsidTr="00F248BF">
        <w:trPr>
          <w:cantSplit/>
          <w:tblHeader/>
        </w:trPr>
        <w:tc>
          <w:tcPr>
            <w:tcW w:w="9639" w:type="dxa"/>
          </w:tcPr>
          <w:p w14:paraId="1C68BA4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latitude</w:t>
            </w:r>
          </w:p>
          <w:p w14:paraId="78BF5922"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Latitude of the reference point</w:t>
            </w:r>
            <w:r w:rsidRPr="0088176E">
              <w:rPr>
                <w:rFonts w:ascii="Arial" w:eastAsia="Times New Roman" w:hAnsi="Arial"/>
                <w:sz w:val="18"/>
                <w:lang w:eastAsia="ja-JP"/>
              </w:rPr>
              <w:t>. Unit in degree.</w:t>
            </w:r>
          </w:p>
          <w:p w14:paraId="5FCB6CA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177E5DF6" w14:textId="77777777" w:rsidTr="00F248BF">
        <w:trPr>
          <w:cantSplit/>
          <w:tblHeader/>
        </w:trPr>
        <w:tc>
          <w:tcPr>
            <w:tcW w:w="9639" w:type="dxa"/>
          </w:tcPr>
          <w:p w14:paraId="1417508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longitude</w:t>
            </w:r>
          </w:p>
          <w:p w14:paraId="5D79F6D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Longitude of the reference point</w:t>
            </w:r>
            <w:r w:rsidRPr="0088176E">
              <w:rPr>
                <w:rFonts w:ascii="Arial" w:eastAsia="Times New Roman" w:hAnsi="Arial"/>
                <w:sz w:val="18"/>
                <w:lang w:eastAsia="ja-JP"/>
              </w:rPr>
              <w:t>. Unit in degree.</w:t>
            </w:r>
          </w:p>
          <w:p w14:paraId="2AFF196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2528731B" w14:textId="77777777" w:rsidTr="00F248BF">
        <w:trPr>
          <w:cantSplit/>
          <w:tblHeader/>
        </w:trPr>
        <w:tc>
          <w:tcPr>
            <w:tcW w:w="9639" w:type="dxa"/>
          </w:tcPr>
          <w:p w14:paraId="65E75C2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radius</w:t>
            </w:r>
          </w:p>
          <w:p w14:paraId="77C7A1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sz w:val="18"/>
                <w:lang w:eastAsia="ja-JP"/>
              </w:rPr>
              <w:t>Distance between the reference point and the edge of the satellite or beam coverage. Unit in km.</w:t>
            </w:r>
          </w:p>
          <w:p w14:paraId="407D621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10 km.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10</w:t>
            </w:r>
            <w:r w:rsidRPr="0088176E">
              <w:rPr>
                <w:rFonts w:ascii="Arial" w:eastAsia="Times New Roman" w:hAnsi="Arial"/>
                <w:sz w:val="18"/>
                <w:lang w:eastAsia="zh-CN"/>
              </w:rPr>
              <w:t>.</w:t>
            </w:r>
          </w:p>
        </w:tc>
      </w:tr>
      <w:tr w:rsidR="0088176E" w:rsidRPr="0088176E" w14:paraId="358A24BE" w14:textId="77777777" w:rsidTr="00F248BF">
        <w:trPr>
          <w:cantSplit/>
          <w:tblHeader/>
        </w:trPr>
        <w:tc>
          <w:tcPr>
            <w:tcW w:w="9639" w:type="dxa"/>
          </w:tcPr>
          <w:p w14:paraId="1BD4A47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serviceInfo</w:t>
            </w:r>
            <w:proofErr w:type="spellEnd"/>
          </w:p>
          <w:p w14:paraId="47B6DC13"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Information on when the satellite will provide coverage.</w:t>
            </w:r>
          </w:p>
          <w:p w14:paraId="4D2593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always configures </w:t>
            </w:r>
            <w:proofErr w:type="spellStart"/>
            <w:r w:rsidRPr="0088176E">
              <w:rPr>
                <w:rFonts w:ascii="Arial" w:eastAsia="Times New Roman" w:hAnsi="Arial"/>
                <w:bCs/>
                <w:i/>
                <w:iCs/>
                <w:kern w:val="2"/>
                <w:sz w:val="18"/>
                <w:lang w:eastAsia="ja-JP"/>
              </w:rPr>
              <w:t>tle-EphemerisParameters</w:t>
            </w:r>
            <w:proofErr w:type="spellEnd"/>
            <w:r w:rsidRPr="0088176E">
              <w:rPr>
                <w:rFonts w:ascii="Arial" w:eastAsia="Times New Roman" w:hAnsi="Arial"/>
                <w:bCs/>
                <w:iCs/>
                <w:kern w:val="2"/>
                <w:sz w:val="18"/>
                <w:lang w:eastAsia="ja-JP"/>
              </w:rPr>
              <w:t xml:space="preserve"> </w:t>
            </w:r>
            <w:r w:rsidRPr="0088176E">
              <w:rPr>
                <w:rFonts w:ascii="Arial" w:eastAsia="Times New Roman" w:hAnsi="Arial"/>
                <w:sz w:val="18"/>
                <w:lang w:eastAsia="ja-JP"/>
              </w:rPr>
              <w:t xml:space="preserve">for a satellite with earth moving cell(s) and always configures </w:t>
            </w:r>
            <w:r w:rsidRPr="0088176E">
              <w:rPr>
                <w:rFonts w:ascii="Arial" w:eastAsia="Times New Roman" w:hAnsi="Arial"/>
                <w:i/>
                <w:sz w:val="18"/>
                <w:lang w:eastAsia="ja-JP"/>
              </w:rPr>
              <w:t>t-</w:t>
            </w:r>
            <w:proofErr w:type="spellStart"/>
            <w:r w:rsidRPr="0088176E">
              <w:rPr>
                <w:rFonts w:ascii="Arial" w:eastAsia="Times New Roman" w:hAnsi="Arial"/>
                <w:i/>
                <w:sz w:val="18"/>
                <w:lang w:eastAsia="ja-JP"/>
              </w:rPr>
              <w:t>ServiceStart</w:t>
            </w:r>
            <w:proofErr w:type="spellEnd"/>
            <w:r w:rsidRPr="0088176E">
              <w:rPr>
                <w:rFonts w:ascii="Arial" w:eastAsia="Times New Roman" w:hAnsi="Arial"/>
                <w:i/>
                <w:sz w:val="18"/>
                <w:lang w:eastAsia="ja-JP"/>
              </w:rPr>
              <w:t xml:space="preserve"> </w:t>
            </w:r>
            <w:r w:rsidRPr="0088176E">
              <w:rPr>
                <w:rFonts w:ascii="Arial" w:eastAsia="Times New Roman" w:hAnsi="Arial"/>
                <w:sz w:val="18"/>
                <w:lang w:eastAsia="ja-JP"/>
              </w:rPr>
              <w:t>for a quasi-earth fixed satellite.</w:t>
            </w:r>
          </w:p>
        </w:tc>
      </w:tr>
      <w:tr w:rsidR="0088176E" w:rsidRPr="0088176E" w14:paraId="4246F39F"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0FB0590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tle-EphemerisParameters</w:t>
            </w:r>
            <w:proofErr w:type="spellEnd"/>
          </w:p>
          <w:p w14:paraId="7B5335E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Mean values of the satellite orbital parameters based on the TLE set format for estimating in-coverage and out-of-coverage periods for a satellite with earth moving cell(s), see TS 36.304 [4].</w:t>
            </w:r>
          </w:p>
        </w:tc>
      </w:tr>
      <w:tr w:rsidR="0088176E" w:rsidRPr="0088176E" w14:paraId="248521EA"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36FCF068"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en-GB"/>
              </w:rPr>
            </w:pPr>
            <w:r w:rsidRPr="0088176E">
              <w:rPr>
                <w:rFonts w:ascii="Arial" w:eastAsia="Times New Roman" w:hAnsi="Arial"/>
                <w:b/>
                <w:bCs/>
                <w:i/>
                <w:iCs/>
                <w:kern w:val="2"/>
                <w:sz w:val="18"/>
                <w:lang w:eastAsia="en-GB"/>
              </w:rPr>
              <w:t>t-</w:t>
            </w:r>
            <w:proofErr w:type="spellStart"/>
            <w:r w:rsidRPr="0088176E">
              <w:rPr>
                <w:rFonts w:ascii="Arial" w:eastAsia="Times New Roman" w:hAnsi="Arial"/>
                <w:b/>
                <w:bCs/>
                <w:i/>
                <w:iCs/>
                <w:kern w:val="2"/>
                <w:sz w:val="18"/>
                <w:lang w:eastAsia="en-GB"/>
              </w:rPr>
              <w:t>ServiceStart</w:t>
            </w:r>
            <w:proofErr w:type="spellEnd"/>
          </w:p>
          <w:p w14:paraId="209F90D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iCs/>
                <w:sz w:val="18"/>
                <w:lang w:eastAsia="en-GB"/>
              </w:rPr>
              <w:t>Time</w:t>
            </w:r>
            <w:r w:rsidRPr="0088176E">
              <w:rPr>
                <w:rFonts w:ascii="Arial" w:eastAsia="Times New Roman" w:hAnsi="Arial"/>
                <w:sz w:val="18"/>
                <w:lang w:eastAsia="ja-JP"/>
              </w:rPr>
              <w:t xml:space="preserve"> information on when the incoming satellite is going to start serving the area for quasi-earth fixed satellite.</w:t>
            </w:r>
          </w:p>
        </w:tc>
      </w:tr>
    </w:tbl>
    <w:p w14:paraId="7E397871" w14:textId="77777777" w:rsidR="00814F1E" w:rsidRPr="00357BA9" w:rsidRDefault="00814F1E"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1BFE1C94" w14:textId="77777777" w:rsidR="00C319CE" w:rsidRDefault="007A3EC8" w:rsidP="007A3EC8">
      <w:pPr>
        <w:pStyle w:val="Doc-text2"/>
        <w:ind w:left="0" w:firstLine="0"/>
      </w:pPr>
      <w:bookmarkStart w:id="0" w:name="_Hlk110948367"/>
      <w:r>
        <w:t xml:space="preserve">For NB-IoT and eMTC, coverage gap prediction in RRC_IDLE and RRC_INACTIVE may provide an opportunity to save power even in R17, </w:t>
      </w:r>
      <w:r w:rsidR="00C319CE">
        <w:t xml:space="preserve">as the UE is allowed to suspend Idle mode tasks. </w:t>
      </w:r>
    </w:p>
    <w:p w14:paraId="1F8B3BDA" w14:textId="77777777" w:rsidR="00C319CE" w:rsidRDefault="00C319CE" w:rsidP="007A3EC8">
      <w:pPr>
        <w:pStyle w:val="Doc-text2"/>
        <w:ind w:left="0" w:firstLine="0"/>
      </w:pPr>
    </w:p>
    <w:p w14:paraId="053E0559" w14:textId="63A9E4DB" w:rsidR="007A3EC8" w:rsidRDefault="007A3EC8" w:rsidP="007A3EC8">
      <w:pPr>
        <w:pStyle w:val="Doc-text2"/>
        <w:ind w:left="0" w:firstLine="0"/>
      </w:pPr>
      <w:r>
        <w:t xml:space="preserve">UEs may choose not to perform measurements of the serving cell or the neighbour cells during a coverage gap. The UE may avoid going to “any cell selection” state and start performing a scan of supported carriers/RATs during a coverage gap. Rather, the UE may choose to suspend measurements and reselection and rather “sleep” during the coverage gap </w:t>
      </w:r>
      <w:proofErr w:type="gramStart"/>
      <w:r>
        <w:t>in order to</w:t>
      </w:r>
      <w:proofErr w:type="gramEnd"/>
      <w:r>
        <w:t xml:space="preserve"> save battery life. </w:t>
      </w:r>
    </w:p>
    <w:p w14:paraId="211103AB" w14:textId="07BD8CE3" w:rsidR="00C319CE" w:rsidRDefault="00C319CE" w:rsidP="007A3EC8">
      <w:pPr>
        <w:pStyle w:val="Doc-text2"/>
        <w:ind w:left="0" w:firstLine="0"/>
      </w:pPr>
    </w:p>
    <w:p w14:paraId="2322CD18" w14:textId="77777777" w:rsidR="00C319CE" w:rsidRDefault="00C319CE" w:rsidP="00C319CE">
      <w:r>
        <w:t>The other main benefit of suspending idle mode tasks would of course be DRX/</w:t>
      </w:r>
      <w:proofErr w:type="spellStart"/>
      <w:r>
        <w:t>eDRX</w:t>
      </w:r>
      <w:proofErr w:type="spellEnd"/>
      <w:r>
        <w:t xml:space="preserve"> and paging monitoring. If the UE is configured with a relatively short DRX (</w:t>
      </w:r>
      <w:proofErr w:type="gramStart"/>
      <w:r>
        <w:t>i.e.</w:t>
      </w:r>
      <w:proofErr w:type="gramEnd"/>
      <w:r>
        <w:t xml:space="preserve"> not </w:t>
      </w:r>
      <w:proofErr w:type="spellStart"/>
      <w:r>
        <w:t>eDRX</w:t>
      </w:r>
      <w:proofErr w:type="spellEnd"/>
      <w:r>
        <w:t xml:space="preserve">) then it is likely that the paging cycle is shorter than a coverage gap. In this case the UE should simply be allowed not to monitor the paging occasions that fall within the coverage gap - this would anyway be impossible and allowing the UE to save power by avoiding trying to synchronise to a cell during this time would be beneficial. </w:t>
      </w:r>
    </w:p>
    <w:p w14:paraId="0DD2A674" w14:textId="77777777" w:rsidR="00C319CE" w:rsidRDefault="00C319CE" w:rsidP="007A3EC8">
      <w:pPr>
        <w:pStyle w:val="Doc-text2"/>
        <w:ind w:left="0" w:firstLine="0"/>
      </w:pPr>
    </w:p>
    <w:p w14:paraId="6EC59548" w14:textId="30E26D78" w:rsidR="00C319CE" w:rsidRDefault="00C319CE" w:rsidP="007A3EC8">
      <w:pPr>
        <w:pStyle w:val="Doc-text2"/>
        <w:ind w:left="0" w:firstLine="0"/>
      </w:pPr>
      <w:r>
        <w:t>In our understanding, the behaviour captured in R17 allows UE not to perform idle mode tasks, therefore this behaviour is already allowed. However, we should consider whether to clarify more explicitly.</w:t>
      </w:r>
    </w:p>
    <w:p w14:paraId="375FE2C0" w14:textId="77777777" w:rsidR="007A3EC8" w:rsidRDefault="007A3EC8" w:rsidP="007A3EC8">
      <w:pPr>
        <w:pStyle w:val="Doc-text2"/>
        <w:ind w:left="0" w:firstLine="0"/>
      </w:pPr>
    </w:p>
    <w:p w14:paraId="4D8A2B7C" w14:textId="5ACB235B" w:rsidR="00C319CE" w:rsidRDefault="007A3EC8" w:rsidP="00C319CE">
      <w:pPr>
        <w:rPr>
          <w:b/>
          <w:bCs/>
        </w:rPr>
      </w:pPr>
      <w:r w:rsidRPr="00780D2A">
        <w:rPr>
          <w:b/>
          <w:bCs/>
        </w:rPr>
        <w:t xml:space="preserve">Proposal </w:t>
      </w:r>
      <w:r w:rsidR="001C2F95">
        <w:rPr>
          <w:b/>
          <w:bCs/>
        </w:rPr>
        <w:t>1</w:t>
      </w:r>
      <w:r w:rsidRPr="00780D2A">
        <w:rPr>
          <w:b/>
          <w:bCs/>
        </w:rPr>
        <w:t xml:space="preserve">: </w:t>
      </w:r>
      <w:r w:rsidR="00AC4D67">
        <w:rPr>
          <w:b/>
          <w:bCs/>
        </w:rPr>
        <w:t xml:space="preserve">For eMTC and NB-IoT: </w:t>
      </w:r>
      <w:r w:rsidR="00C319CE">
        <w:rPr>
          <w:b/>
          <w:bCs/>
        </w:rPr>
        <w:t>A UE in R17 is allowed not to perform RRC_IDLE mode tasks during a coverage gap.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coverage gap,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r w:rsidR="00C319CE">
        <w:rPr>
          <w:b/>
          <w:bCs/>
        </w:rPr>
        <w:t>, and is</w:t>
      </w:r>
      <w:r w:rsidR="00C319CE" w:rsidRPr="00036777">
        <w:rPr>
          <w:b/>
          <w:bCs/>
        </w:rPr>
        <w:t xml:space="preserve"> allowed not to </w:t>
      </w:r>
      <w:r w:rsidR="00C319CE">
        <w:rPr>
          <w:b/>
          <w:bCs/>
        </w:rPr>
        <w:t xml:space="preserve">attempt to </w:t>
      </w:r>
      <w:r w:rsidR="00C319CE" w:rsidRPr="00036777">
        <w:rPr>
          <w:b/>
          <w:bCs/>
        </w:rPr>
        <w:t xml:space="preserve">monitor paging occasions </w:t>
      </w:r>
      <w:r w:rsidR="00C319CE">
        <w:rPr>
          <w:b/>
          <w:bCs/>
        </w:rPr>
        <w:t>which</w:t>
      </w:r>
      <w:r w:rsidR="00C319CE" w:rsidRPr="00036777">
        <w:rPr>
          <w:b/>
          <w:bCs/>
        </w:rPr>
        <w:t xml:space="preserve"> occur during a coverage gap.</w:t>
      </w:r>
    </w:p>
    <w:p w14:paraId="1166770A" w14:textId="77777777" w:rsidR="007A3EC8" w:rsidRDefault="007A3EC8" w:rsidP="007A3EC8">
      <w:pPr>
        <w:rPr>
          <w:b/>
          <w:bCs/>
        </w:rPr>
      </w:pPr>
    </w:p>
    <w:p w14:paraId="22F1729B" w14:textId="157C8AC8" w:rsidR="007A3EC8" w:rsidRDefault="007A3EC8" w:rsidP="007A3EC8">
      <w:r w:rsidRPr="00036777">
        <w:t>In case the UE is configured with a long DRX (</w:t>
      </w:r>
      <w:proofErr w:type="gramStart"/>
      <w:r w:rsidRPr="00036777">
        <w:t>i.e.</w:t>
      </w:r>
      <w:proofErr w:type="gramEnd"/>
      <w:r w:rsidRPr="00036777">
        <w:t xml:space="preserve"> </w:t>
      </w:r>
      <w:proofErr w:type="spellStart"/>
      <w:r w:rsidRPr="00036777">
        <w:t>eDRX</w:t>
      </w:r>
      <w:proofErr w:type="spellEnd"/>
      <w:r w:rsidRPr="00036777">
        <w:t>)</w:t>
      </w:r>
      <w:r>
        <w:t xml:space="preserve"> then it may be the case that the UE is configured with a paging cycle which is longer than a coverage gap. In some cases, the PTW may fall within the coverage gap, and in extreme cases </w:t>
      </w:r>
      <w:proofErr w:type="gramStart"/>
      <w:r>
        <w:t>e.g.</w:t>
      </w:r>
      <w:proofErr w:type="gramEnd"/>
      <w:r>
        <w:t xml:space="preserve"> when there are many relatively long coverage gaps this may result in the UE being unreachable for long periods of time (i.e. much longer than the configured </w:t>
      </w:r>
      <w:proofErr w:type="spellStart"/>
      <w:r>
        <w:t>eDRX</w:t>
      </w:r>
      <w:proofErr w:type="spellEnd"/>
      <w:r>
        <w:t xml:space="preserve"> cycle due to missed PTWs). It may be possible by configuration to avoid this some of the time, however this may not be possible in all cases. We should consider whether the PTW should be updated for UEs which would have no usable PTW during an </w:t>
      </w:r>
      <w:proofErr w:type="spellStart"/>
      <w:r>
        <w:t>eDRX</w:t>
      </w:r>
      <w:proofErr w:type="spellEnd"/>
      <w:r>
        <w:t xml:space="preserve"> cycle – for example, if the PTW falls within a coverage gap, to monitor for paging before or after the coverage gap. The PTW could be extended or shifted to accommodate the gap in coverage so that the UE can still be paged in a reasonable amount of time.</w:t>
      </w:r>
    </w:p>
    <w:p w14:paraId="65E4DF70" w14:textId="185CC227" w:rsidR="00C319CE" w:rsidRDefault="00C319CE" w:rsidP="007A3EC8"/>
    <w:p w14:paraId="39910C50" w14:textId="26ECA75E" w:rsidR="00C319CE" w:rsidRDefault="00C319CE" w:rsidP="007A3EC8">
      <w:proofErr w:type="gramStart"/>
      <w:r>
        <w:lastRenderedPageBreak/>
        <w:t>Alternatively</w:t>
      </w:r>
      <w:proofErr w:type="gramEnd"/>
      <w:r>
        <w:t xml:space="preserve"> it may be possible to redefine the PTW calculation such that UEs are distributed evenly </w:t>
      </w:r>
      <w:r w:rsidR="00423F56">
        <w:t xml:space="preserve">only </w:t>
      </w:r>
      <w:r>
        <w:t xml:space="preserve">within the in-coverage </w:t>
      </w:r>
      <w:r w:rsidR="00423F56">
        <w:t>H-SFNs</w:t>
      </w:r>
      <w:r>
        <w:t>. For example, based on the serving cell t</w:t>
      </w:r>
      <w:r w:rsidR="00184EB2">
        <w:t>-</w:t>
      </w:r>
      <w:proofErr w:type="spellStart"/>
      <w:r>
        <w:t>Service</w:t>
      </w:r>
      <w:r w:rsidR="0080575B">
        <w:t>Start</w:t>
      </w:r>
      <w:proofErr w:type="spellEnd"/>
      <w:r>
        <w:t xml:space="preserve">, </w:t>
      </w:r>
      <w:r w:rsidR="00184EB2">
        <w:t xml:space="preserve">we can calculate which </w:t>
      </w:r>
      <w:r w:rsidR="00423F56">
        <w:t>H-SFNs</w:t>
      </w:r>
      <w:r w:rsidR="00184EB2">
        <w:t xml:space="preserve"> will be out of coverage</w:t>
      </w:r>
      <w:r w:rsidR="00E97CB9">
        <w:t xml:space="preserve">. By performing </w:t>
      </w:r>
      <w:r w:rsidR="00423F56">
        <w:t xml:space="preserve">modulo using the UE-ID on the number of in-coverage H-SFNs we can distribute the UE PHs such that even UEs with a very long </w:t>
      </w:r>
      <w:proofErr w:type="spellStart"/>
      <w:r w:rsidR="00423F56">
        <w:t>eDRX</w:t>
      </w:r>
      <w:proofErr w:type="spellEnd"/>
      <w:r w:rsidR="00423F56">
        <w:t xml:space="preserve"> will have a PH while in-coverage.</w:t>
      </w:r>
    </w:p>
    <w:p w14:paraId="23C67216" w14:textId="77777777" w:rsidR="007A3EC8" w:rsidRDefault="007A3EC8" w:rsidP="007A3EC8"/>
    <w:p w14:paraId="0F137E4D" w14:textId="059D5FBA" w:rsidR="007A3EC8" w:rsidRDefault="007A3EC8" w:rsidP="007A3EC8">
      <w:pPr>
        <w:rPr>
          <w:b/>
          <w:bCs/>
        </w:rPr>
      </w:pPr>
      <w:r w:rsidRPr="00B556ED">
        <w:rPr>
          <w:b/>
          <w:bCs/>
        </w:rPr>
        <w:t xml:space="preserve">Proposal </w:t>
      </w:r>
      <w:r w:rsidR="00423F56">
        <w:rPr>
          <w:b/>
          <w:bCs/>
        </w:rPr>
        <w:t>2</w:t>
      </w:r>
      <w:r w:rsidRPr="00B556ED">
        <w:rPr>
          <w:b/>
          <w:bCs/>
        </w:rPr>
        <w:t xml:space="preserve">: </w:t>
      </w:r>
      <w:r w:rsidR="00AC4D67">
        <w:rPr>
          <w:b/>
          <w:bCs/>
        </w:rPr>
        <w:t xml:space="preserve">For eMTC and NB-IoT: </w:t>
      </w:r>
      <w:r w:rsidRPr="00B556ED">
        <w:rPr>
          <w:b/>
          <w:bCs/>
        </w:rPr>
        <w:t xml:space="preserve">RAN2 to </w:t>
      </w:r>
      <w:r w:rsidR="00AC4D67">
        <w:rPr>
          <w:b/>
          <w:bCs/>
        </w:rPr>
        <w:t xml:space="preserve">consider </w:t>
      </w:r>
      <w:r w:rsidR="00423F56">
        <w:rPr>
          <w:b/>
          <w:bCs/>
        </w:rPr>
        <w:t>updat</w:t>
      </w:r>
      <w:r w:rsidR="00AC4D67">
        <w:rPr>
          <w:b/>
          <w:bCs/>
        </w:rPr>
        <w:t>ing</w:t>
      </w:r>
      <w:r w:rsidR="00423F56">
        <w:rPr>
          <w:b/>
          <w:bCs/>
        </w:rPr>
        <w:t xml:space="preserve"> the PH </w:t>
      </w:r>
      <w:r w:rsidR="00AC4D67">
        <w:rPr>
          <w:b/>
          <w:bCs/>
        </w:rPr>
        <w:t xml:space="preserve">and PO </w:t>
      </w:r>
      <w:r w:rsidR="00423F56">
        <w:rPr>
          <w:b/>
          <w:bCs/>
        </w:rPr>
        <w:t>calculation</w:t>
      </w:r>
      <w:r w:rsidR="00AC4D67">
        <w:rPr>
          <w:b/>
          <w:bCs/>
        </w:rPr>
        <w:t>s</w:t>
      </w:r>
      <w:r w:rsidR="00423F56">
        <w:rPr>
          <w:b/>
          <w:bCs/>
        </w:rPr>
        <w:t xml:space="preserve"> to </w:t>
      </w:r>
      <w:proofErr w:type="gramStart"/>
      <w:r w:rsidR="00423F56">
        <w:rPr>
          <w:b/>
          <w:bCs/>
        </w:rPr>
        <w:t>take into account</w:t>
      </w:r>
      <w:proofErr w:type="gramEnd"/>
      <w:r w:rsidR="00423F56">
        <w:rPr>
          <w:b/>
          <w:bCs/>
        </w:rPr>
        <w:t xml:space="preserve"> coverage gaps</w:t>
      </w:r>
      <w:r w:rsidRPr="00B556ED">
        <w:rPr>
          <w:b/>
          <w:bCs/>
        </w:rPr>
        <w:t>.</w:t>
      </w:r>
    </w:p>
    <w:p w14:paraId="79E10E4F" w14:textId="77777777" w:rsidR="007A3EC8" w:rsidRDefault="007A3EC8" w:rsidP="007A3EC8">
      <w:pPr>
        <w:rPr>
          <w:b/>
          <w:bCs/>
        </w:rPr>
      </w:pPr>
    </w:p>
    <w:p w14:paraId="629FA234" w14:textId="77777777" w:rsidR="003030A5" w:rsidRDefault="007A3EC8" w:rsidP="007A3EC8">
      <w:r>
        <w:t xml:space="preserve">For NB-IoT, there is no support of connected mode mobility. As we know, mobility between cells relies on RLF and re-establishment to the new cell. In case of a coverage gap, the current procedure would cause the UE to start T310 upon detection of N310 out-of-sync indications from layer 1. Then, during T310 the UE would (unsuccessfully due to coverage gap) attempt to obtain in-sync with the current cell. Upon T310 expiry the UE would then attempt RRC re-establishment and (unsuccessfully due to coverage gap) attempt a cell selection. The UE would eventually declare RRC connection failure and enter idle mode, performing any cell selection until the coverage gap ends. Performing this frequently would result in unnecessarily </w:t>
      </w:r>
      <w:proofErr w:type="gramStart"/>
      <w:r>
        <w:t>high power</w:t>
      </w:r>
      <w:proofErr w:type="gramEnd"/>
      <w:r>
        <w:t xml:space="preserve"> consumption. It would also mean the UE is never able to re-establish on the new cell in the case that the coverage gap is longer than the maximum T310+T311 values because timers T310 and T311 would always expire. To avoid this, it should be allowed to suspend RLF and re-establishment for the duration of a coverage gap. </w:t>
      </w:r>
    </w:p>
    <w:p w14:paraId="2C35437C" w14:textId="77777777" w:rsidR="003030A5" w:rsidRDefault="003030A5" w:rsidP="007A3EC8"/>
    <w:p w14:paraId="019C8FDA" w14:textId="47877136" w:rsidR="007A3EC8" w:rsidRDefault="00C172F3" w:rsidP="007A3EC8">
      <w:r>
        <w:t xml:space="preserve">Currently in 36.304 </w:t>
      </w:r>
      <w:r w:rsidR="003030A5">
        <w:t>it is stated “</w:t>
      </w:r>
      <w:r w:rsidR="003030A5" w:rsidRPr="003030A5">
        <w:t>It is up to UE implementation to handle running timers.</w:t>
      </w:r>
      <w:r w:rsidR="003030A5">
        <w:t xml:space="preserve">” but it is not clear whether this refers to RRC_CONNECTED (RRC spec) timers. </w:t>
      </w:r>
      <w:proofErr w:type="gramStart"/>
      <w:r w:rsidR="003030A5">
        <w:t>In order to</w:t>
      </w:r>
      <w:proofErr w:type="gramEnd"/>
      <w:r w:rsidR="003030A5">
        <w:t xml:space="preserve"> improve RRC_CONNECTED mode, we should specify how to handle RLF that would normally be declared when out of sync is detected due to out of coverage, to ensure the UE can recover more quickly when back in coverage.</w:t>
      </w:r>
    </w:p>
    <w:p w14:paraId="6E475005" w14:textId="77777777" w:rsidR="007A3EC8" w:rsidRDefault="007A3EC8" w:rsidP="007A3EC8"/>
    <w:p w14:paraId="12687979" w14:textId="7809BB22" w:rsidR="00AC4D67" w:rsidRDefault="007A3EC8" w:rsidP="00E229AC">
      <w:pPr>
        <w:rPr>
          <w:b/>
          <w:bCs/>
        </w:rPr>
      </w:pPr>
      <w:r w:rsidRPr="00DE4862">
        <w:rPr>
          <w:b/>
          <w:bCs/>
        </w:rPr>
        <w:t xml:space="preserve">Proposal </w:t>
      </w:r>
      <w:r w:rsidR="00AC4D67">
        <w:rPr>
          <w:b/>
          <w:bCs/>
        </w:rPr>
        <w:t>3</w:t>
      </w:r>
      <w:r w:rsidRPr="00DE4862">
        <w:rPr>
          <w:b/>
          <w:bCs/>
        </w:rPr>
        <w:t xml:space="preserve">: </w:t>
      </w:r>
      <w:r w:rsidR="00AC4D67">
        <w:rPr>
          <w:b/>
          <w:bCs/>
        </w:rPr>
        <w:t xml:space="preserve">For eMTC and NB-IoT: </w:t>
      </w:r>
      <w:r w:rsidRPr="00DE4862">
        <w:rPr>
          <w:b/>
          <w:bCs/>
        </w:rPr>
        <w:t>RLM, RLF detection, and RRC re-establishment are suspended during a coverage gap</w:t>
      </w:r>
      <w:r w:rsidR="00C172F3">
        <w:rPr>
          <w:b/>
          <w:bCs/>
        </w:rPr>
        <w:t>.</w:t>
      </w:r>
    </w:p>
    <w:p w14:paraId="648FFE66" w14:textId="77777777" w:rsidR="00AC4D67" w:rsidRDefault="00AC4D67" w:rsidP="00E229AC">
      <w:pPr>
        <w:rPr>
          <w:b/>
          <w:bCs/>
        </w:rPr>
      </w:pPr>
    </w:p>
    <w:p w14:paraId="031F8E23" w14:textId="77777777" w:rsidR="00AC4D67" w:rsidRDefault="00AC4D67" w:rsidP="00AC4D67">
      <w:r w:rsidRPr="00B556ED">
        <w:t xml:space="preserve">For RRC_CONNECTED, </w:t>
      </w:r>
      <w:r>
        <w:t xml:space="preserve">a gap in coverage would obviously impact mobility. For eMTC, the network may prefer to perform a handover from one cell to the new cell. However, assuming that the handover command could be provided before the current cell coverage ends, a gap in coverage would result in RLF on the target cell as the UE would not be able to synchronise. To support </w:t>
      </w:r>
      <w:proofErr w:type="gramStart"/>
      <w:r>
        <w:t>this</w:t>
      </w:r>
      <w:proofErr w:type="gramEnd"/>
      <w:r>
        <w:t xml:space="preserve"> we would suggest (similar to UMTS!) that for NTN the RRC Reconfiguration message could be enhanced to include an “activation time” to accommodate the coverage gap. If the UE receives an RRC Reconfiguration providing reconfiguration to a new cell and including an activation time, the UE should be allowed to not detect/declare RLF on the source cell, and delay the reconfiguration procedure until the activation time (</w:t>
      </w:r>
      <w:proofErr w:type="gramStart"/>
      <w:r>
        <w:t>i.e.</w:t>
      </w:r>
      <w:proofErr w:type="gramEnd"/>
      <w:r>
        <w:t xml:space="preserve"> coverage gap end time).</w:t>
      </w:r>
    </w:p>
    <w:p w14:paraId="6C9C8A96" w14:textId="77777777" w:rsidR="00AC4D67" w:rsidRDefault="00AC4D67" w:rsidP="00AC4D67"/>
    <w:p w14:paraId="4C7D8D56" w14:textId="66EC1B7F" w:rsidR="00AC4D67" w:rsidRPr="00D72A34" w:rsidRDefault="00AC4D67" w:rsidP="00AC4D67">
      <w:pPr>
        <w:rPr>
          <w:b/>
          <w:bCs/>
        </w:rPr>
      </w:pPr>
      <w:r w:rsidRPr="00D72A34">
        <w:rPr>
          <w:b/>
          <w:bCs/>
        </w:rPr>
        <w:t xml:space="preserve">Proposal </w:t>
      </w:r>
      <w:r>
        <w:rPr>
          <w:b/>
          <w:bCs/>
        </w:rPr>
        <w:t>4</w:t>
      </w:r>
      <w:r w:rsidRPr="00D72A34">
        <w:rPr>
          <w:b/>
          <w:bCs/>
        </w:rPr>
        <w:t xml:space="preserve">: </w:t>
      </w:r>
      <w:r>
        <w:rPr>
          <w:b/>
          <w:bCs/>
        </w:rPr>
        <w:t>For eMTC: I</w:t>
      </w:r>
      <w:r w:rsidRPr="00D72A34">
        <w:rPr>
          <w:b/>
          <w:bCs/>
        </w:rPr>
        <w:t>ntroduce an activation time in RRC Reconfiguration to allow handover between cells occurring before and after a coverage gap.</w:t>
      </w:r>
    </w:p>
    <w:p w14:paraId="671DB2EF" w14:textId="5F4C561B" w:rsidR="00937DBB" w:rsidRDefault="00937DBB" w:rsidP="00E229AC">
      <w:pPr>
        <w:rPr>
          <w:b/>
          <w:bCs/>
        </w:rPr>
      </w:pPr>
    </w:p>
    <w:p w14:paraId="0E904046" w14:textId="7556471C" w:rsidR="000E3593" w:rsidRDefault="000E3593" w:rsidP="00E229AC">
      <w:r>
        <w:t xml:space="preserve">For the earth moving cell case in particular, the coverage gap may be more challenging to estimate at the network. The timing of the gap for any </w:t>
      </w:r>
      <w:proofErr w:type="gramStart"/>
      <w:r>
        <w:t>particular UE</w:t>
      </w:r>
      <w:proofErr w:type="gramEnd"/>
      <w:r>
        <w:t xml:space="preserve"> is not known to the network with accuracy. If we are to take advantage of coverage gap prediction for RRC_CONNECTED, then coverage gap reporting should be introduced so that, for example, the network knows what activation time to set in an RRC Reconfiguration for the earth moving cell case. This could be included if a measurement event is triggered based on existing measurements.</w:t>
      </w:r>
    </w:p>
    <w:p w14:paraId="229E3C03" w14:textId="40C44CDC" w:rsidR="000E3593" w:rsidRDefault="000E3593" w:rsidP="00E229AC"/>
    <w:p w14:paraId="45C563F2" w14:textId="293CC214" w:rsidR="000E3593" w:rsidRDefault="000E3593" w:rsidP="00E229AC">
      <w:pPr>
        <w:rPr>
          <w:b/>
          <w:bCs/>
        </w:rPr>
      </w:pPr>
      <w:r w:rsidRPr="000E3593">
        <w:rPr>
          <w:b/>
          <w:bCs/>
        </w:rPr>
        <w:t>Proposal 5: For eMTC: Consider introducing coverage gap estimate information in RRC measurement reporting.</w:t>
      </w:r>
    </w:p>
    <w:p w14:paraId="39885626" w14:textId="0FCE3440" w:rsidR="000E3593" w:rsidRDefault="000E3593" w:rsidP="00E229AC">
      <w:pPr>
        <w:rPr>
          <w:b/>
          <w:bCs/>
        </w:rPr>
      </w:pPr>
    </w:p>
    <w:p w14:paraId="74B73DC9" w14:textId="3A2DB5C2" w:rsidR="000E3593" w:rsidRDefault="000E3593" w:rsidP="00E229AC">
      <w:pPr>
        <w:rPr>
          <w:b/>
          <w:bCs/>
        </w:rPr>
      </w:pPr>
      <w:r w:rsidRPr="000E3593">
        <w:t xml:space="preserve">In addition, time-based and location-based triggers for CHO will be discussed and most likely introduced in R18. If a CHO is provided with a target cell that will come into coverage after a gap, then CHO should take this into account, for example delay attempting to complete the CHO until after the coverage gap. This would be </w:t>
      </w:r>
      <w:proofErr w:type="gramStart"/>
      <w:r w:rsidRPr="000E3593">
        <w:t>similar to</w:t>
      </w:r>
      <w:proofErr w:type="gramEnd"/>
      <w:r w:rsidRPr="000E3593">
        <w:t xml:space="preserve"> providing an activation time </w:t>
      </w:r>
      <w:r>
        <w:t>i</w:t>
      </w:r>
      <w:r w:rsidRPr="000E3593">
        <w:t>n the RRC Reconfiguration.</w:t>
      </w:r>
    </w:p>
    <w:p w14:paraId="11504B15" w14:textId="492A37F5" w:rsidR="000E3593" w:rsidRDefault="000E3593" w:rsidP="00E229AC">
      <w:pPr>
        <w:rPr>
          <w:b/>
          <w:bCs/>
        </w:rPr>
      </w:pPr>
    </w:p>
    <w:p w14:paraId="73B18AF1" w14:textId="767DFAEC" w:rsidR="000E3593" w:rsidRPr="000E3593" w:rsidRDefault="000E3593" w:rsidP="00E229AC">
      <w:pPr>
        <w:rPr>
          <w:b/>
          <w:bCs/>
        </w:rPr>
      </w:pPr>
      <w:r>
        <w:rPr>
          <w:b/>
          <w:bCs/>
        </w:rPr>
        <w:t>Proposal 6: For eMTC: Consider how discontinuous coverage impacts CHO.</w:t>
      </w:r>
    </w:p>
    <w:bookmarkEnd w:id="0"/>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0E34B66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775EE0">
        <w:rPr>
          <w:rFonts w:ascii="Arial" w:hAnsi="Arial" w:cs="Arial"/>
          <w:lang w:val="en-US"/>
        </w:rPr>
        <w:t>discontinuous coverage</w:t>
      </w:r>
      <w:r w:rsidR="007B7AD2">
        <w:rPr>
          <w:rFonts w:ascii="Arial" w:hAnsi="Arial" w:cs="Arial"/>
          <w:lang w:val="en-US"/>
        </w:rPr>
        <w:t xml:space="preserve"> enhancements</w:t>
      </w:r>
      <w:r w:rsidR="00775EE0">
        <w:rPr>
          <w:rFonts w:ascii="Arial" w:hAnsi="Arial" w:cs="Arial"/>
          <w:lang w:val="en-US"/>
        </w:rPr>
        <w:t xml:space="preserve"> for R18 IoT-NTN and have the following proposals</w:t>
      </w:r>
      <w:r w:rsidRPr="00AC3CD2">
        <w:rPr>
          <w:rFonts w:ascii="Arial" w:hAnsi="Arial" w:cs="Arial"/>
          <w:lang w:val="en-US"/>
        </w:rPr>
        <w:t>:</w:t>
      </w:r>
    </w:p>
    <w:p w14:paraId="54608BDE" w14:textId="77777777" w:rsidR="00775EE0" w:rsidRPr="00AC3CD2" w:rsidRDefault="00775EE0" w:rsidP="00551638">
      <w:pPr>
        <w:jc w:val="both"/>
        <w:rPr>
          <w:rFonts w:ascii="Arial" w:hAnsi="Arial" w:cs="Arial"/>
          <w:lang w:val="en-US"/>
        </w:rPr>
      </w:pPr>
    </w:p>
    <w:p w14:paraId="2966C7AB" w14:textId="77777777" w:rsidR="00AC4D67" w:rsidRDefault="00AC4D67" w:rsidP="00AC4D67">
      <w:pPr>
        <w:rPr>
          <w:b/>
          <w:bCs/>
        </w:rPr>
      </w:pPr>
      <w:r w:rsidRPr="00780D2A">
        <w:rPr>
          <w:b/>
          <w:bCs/>
        </w:rPr>
        <w:lastRenderedPageBreak/>
        <w:t xml:space="preserve">Proposal </w:t>
      </w:r>
      <w:r>
        <w:rPr>
          <w:b/>
          <w:bCs/>
        </w:rPr>
        <w:t>1</w:t>
      </w:r>
      <w:r w:rsidRPr="00780D2A">
        <w:rPr>
          <w:b/>
          <w:bCs/>
        </w:rPr>
        <w:t xml:space="preserve">: </w:t>
      </w:r>
      <w:r>
        <w:rPr>
          <w:b/>
          <w:bCs/>
        </w:rPr>
        <w:t>For eMTC and NB-IoT: A UE in R17 is allowed not to perform RRC_IDLE mode tasks during a coverage gap.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coverage gap,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r>
        <w:rPr>
          <w:b/>
          <w:bCs/>
        </w:rPr>
        <w:t>, and is</w:t>
      </w:r>
      <w:r w:rsidRPr="00036777">
        <w:rPr>
          <w:b/>
          <w:bCs/>
        </w:rPr>
        <w:t xml:space="preserv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6706A544" w14:textId="77777777" w:rsidR="00AC4D67" w:rsidRDefault="00AC4D67" w:rsidP="00AC4D67">
      <w:pPr>
        <w:rPr>
          <w:b/>
          <w:bCs/>
        </w:rPr>
      </w:pPr>
    </w:p>
    <w:p w14:paraId="6421EE2B" w14:textId="77777777" w:rsidR="00AC4D67" w:rsidRDefault="00AC4D67" w:rsidP="00AC4D67">
      <w:pPr>
        <w:rPr>
          <w:b/>
          <w:bCs/>
        </w:rPr>
      </w:pPr>
      <w:r w:rsidRPr="00B556ED">
        <w:rPr>
          <w:b/>
          <w:bCs/>
        </w:rPr>
        <w:t xml:space="preserve">Proposal </w:t>
      </w:r>
      <w:r>
        <w:rPr>
          <w:b/>
          <w:bCs/>
        </w:rPr>
        <w:t>2</w:t>
      </w:r>
      <w:r w:rsidRPr="00B556ED">
        <w:rPr>
          <w:b/>
          <w:bCs/>
        </w:rPr>
        <w:t xml:space="preserve">: </w:t>
      </w:r>
      <w:r>
        <w:rPr>
          <w:b/>
          <w:bCs/>
        </w:rPr>
        <w:t xml:space="preserve">For eMTC and NB-IoT: </w:t>
      </w:r>
      <w:r w:rsidRPr="00B556ED">
        <w:rPr>
          <w:b/>
          <w:bCs/>
        </w:rPr>
        <w:t xml:space="preserve">RAN2 to </w:t>
      </w:r>
      <w:r>
        <w:rPr>
          <w:b/>
          <w:bCs/>
        </w:rPr>
        <w:t xml:space="preserve">consider updating the PH and PO calculations to </w:t>
      </w:r>
      <w:proofErr w:type="gramStart"/>
      <w:r>
        <w:rPr>
          <w:b/>
          <w:bCs/>
        </w:rPr>
        <w:t>take into account</w:t>
      </w:r>
      <w:proofErr w:type="gramEnd"/>
      <w:r>
        <w:rPr>
          <w:b/>
          <w:bCs/>
        </w:rPr>
        <w:t xml:space="preserve"> coverage gaps</w:t>
      </w:r>
      <w:r w:rsidRPr="00B556ED">
        <w:rPr>
          <w:b/>
          <w:bCs/>
        </w:rPr>
        <w:t>.</w:t>
      </w:r>
    </w:p>
    <w:p w14:paraId="04BAD0F9" w14:textId="77777777" w:rsidR="00AC4D67" w:rsidRDefault="00AC4D67" w:rsidP="00AC4D67">
      <w:pPr>
        <w:rPr>
          <w:b/>
          <w:bCs/>
        </w:rPr>
      </w:pPr>
    </w:p>
    <w:p w14:paraId="6337D107" w14:textId="77777777" w:rsidR="00AC4D67" w:rsidRDefault="00AC4D67" w:rsidP="00AC4D67">
      <w:pPr>
        <w:rPr>
          <w:b/>
          <w:bCs/>
        </w:rPr>
      </w:pPr>
      <w:r w:rsidRPr="00DE4862">
        <w:rPr>
          <w:b/>
          <w:bCs/>
        </w:rPr>
        <w:t xml:space="preserve">Proposal </w:t>
      </w:r>
      <w:r>
        <w:rPr>
          <w:b/>
          <w:bCs/>
        </w:rPr>
        <w:t>3</w:t>
      </w:r>
      <w:r w:rsidRPr="00DE4862">
        <w:rPr>
          <w:b/>
          <w:bCs/>
        </w:rPr>
        <w:t xml:space="preserve">: </w:t>
      </w:r>
      <w:r>
        <w:rPr>
          <w:b/>
          <w:bCs/>
        </w:rPr>
        <w:t xml:space="preserve">For eMTC and NB-IoT: </w:t>
      </w:r>
      <w:r w:rsidRPr="00DE4862">
        <w:rPr>
          <w:b/>
          <w:bCs/>
        </w:rPr>
        <w:t>RLM, RLF detection, and RRC re-establishment are suspended during a coverage gap</w:t>
      </w:r>
      <w:r>
        <w:rPr>
          <w:b/>
          <w:bCs/>
        </w:rPr>
        <w:t>.</w:t>
      </w:r>
    </w:p>
    <w:p w14:paraId="6F5AEC8E" w14:textId="77777777" w:rsidR="00AC4D67" w:rsidRDefault="00AC4D67" w:rsidP="00AC4D67">
      <w:pPr>
        <w:rPr>
          <w:b/>
          <w:bCs/>
        </w:rPr>
      </w:pPr>
    </w:p>
    <w:p w14:paraId="1E0CF063" w14:textId="77777777" w:rsidR="00AC4D67" w:rsidRPr="00D72A34" w:rsidRDefault="00AC4D67" w:rsidP="00AC4D67">
      <w:pPr>
        <w:rPr>
          <w:b/>
          <w:bCs/>
        </w:rPr>
      </w:pPr>
      <w:r w:rsidRPr="00D72A34">
        <w:rPr>
          <w:b/>
          <w:bCs/>
        </w:rPr>
        <w:t xml:space="preserve">Proposal </w:t>
      </w:r>
      <w:r>
        <w:rPr>
          <w:b/>
          <w:bCs/>
        </w:rPr>
        <w:t>4</w:t>
      </w:r>
      <w:r w:rsidRPr="00D72A34">
        <w:rPr>
          <w:b/>
          <w:bCs/>
        </w:rPr>
        <w:t xml:space="preserve">: </w:t>
      </w:r>
      <w:r>
        <w:rPr>
          <w:b/>
          <w:bCs/>
        </w:rPr>
        <w:t>For eMTC: I</w:t>
      </w:r>
      <w:r w:rsidRPr="00D72A34">
        <w:rPr>
          <w:b/>
          <w:bCs/>
        </w:rPr>
        <w:t>ntroduce an activation time in RRC Reconfiguration to allow handover between cells occurring before and after a coverage gap.</w:t>
      </w:r>
    </w:p>
    <w:p w14:paraId="2886DD9E" w14:textId="77777777" w:rsidR="000E3593" w:rsidRDefault="000E3593" w:rsidP="000E3593">
      <w:pPr>
        <w:rPr>
          <w:b/>
          <w:bCs/>
        </w:rPr>
      </w:pPr>
    </w:p>
    <w:p w14:paraId="0762D268" w14:textId="06A2A454" w:rsidR="000E3593" w:rsidRDefault="000E3593" w:rsidP="000E3593">
      <w:pPr>
        <w:rPr>
          <w:b/>
          <w:bCs/>
        </w:rPr>
      </w:pPr>
      <w:r w:rsidRPr="000E3593">
        <w:rPr>
          <w:b/>
          <w:bCs/>
        </w:rPr>
        <w:t>Proposal 5: For eMTC: Consider introducing coverage gap estimate information in RRC measurement reporting.</w:t>
      </w:r>
    </w:p>
    <w:p w14:paraId="752EA6A9" w14:textId="77777777" w:rsidR="000E3593" w:rsidRDefault="000E3593" w:rsidP="000E3593">
      <w:pPr>
        <w:rPr>
          <w:b/>
          <w:bCs/>
        </w:rPr>
      </w:pPr>
    </w:p>
    <w:p w14:paraId="50BFB047" w14:textId="77777777" w:rsidR="000E3593" w:rsidRPr="000E3593" w:rsidRDefault="000E3593" w:rsidP="000E3593">
      <w:pPr>
        <w:rPr>
          <w:b/>
          <w:bCs/>
        </w:rPr>
      </w:pPr>
      <w:r>
        <w:rPr>
          <w:b/>
          <w:bCs/>
        </w:rPr>
        <w:t>Proposal 6: For eMTC: Consider how discontinuous coverage impacts CHO.</w:t>
      </w:r>
    </w:p>
    <w:p w14:paraId="18B58959" w14:textId="77777777" w:rsidR="000E3593" w:rsidRPr="00AC3CD2" w:rsidRDefault="000E3593" w:rsidP="000F02CA">
      <w:pPr>
        <w:pStyle w:val="B4"/>
        <w:ind w:left="0" w:firstLine="0"/>
        <w:rPr>
          <w:rFonts w:ascii="Arial" w:hAnsi="Arial" w:cs="Arial"/>
        </w:rPr>
      </w:pP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1" w:name="_Ref110867306"/>
    <w:p w14:paraId="3B018D6C" w14:textId="157A599F" w:rsidR="00D205BC" w:rsidRPr="00AC3CD2" w:rsidRDefault="003F50D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AC3CD2">
        <w:rPr>
          <w:rFonts w:ascii="Arial" w:hAnsi="Arial" w:cs="Arial"/>
        </w:rPr>
        <w:fldChar w:fldCharType="begin"/>
      </w:r>
      <w:r w:rsidR="0032326C" w:rsidRPr="00AC3CD2">
        <w:rPr>
          <w:rFonts w:ascii="Arial" w:hAnsi="Arial" w:cs="Arial"/>
        </w:rPr>
        <w:instrText>HYPERLINK "https://www.3gpp.org/ftp/tsg_ran/TSG_RAN/TSGR_96/Docs/RP-221806.zip"</w:instrText>
      </w:r>
      <w:r w:rsidRPr="00AC3CD2">
        <w:rPr>
          <w:rFonts w:ascii="Arial" w:hAnsi="Arial" w:cs="Arial"/>
        </w:rPr>
        <w:fldChar w:fldCharType="separate"/>
      </w:r>
      <w:r w:rsidR="0032326C" w:rsidRPr="00AC3CD2">
        <w:rPr>
          <w:rStyle w:val="Hyperlink"/>
          <w:rFonts w:ascii="Arial" w:hAnsi="Arial" w:cs="Arial"/>
        </w:rPr>
        <w:t>RP-221806</w:t>
      </w:r>
      <w:r w:rsidRPr="00AC3CD2">
        <w:rPr>
          <w:rFonts w:ascii="Arial" w:hAnsi="Arial" w:cs="Arial"/>
        </w:rPr>
        <w:fldChar w:fldCharType="end"/>
      </w:r>
      <w:r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1"/>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0"/>
  </w:num>
  <w:num w:numId="2" w16cid:durableId="1822573651">
    <w:abstractNumId w:val="7"/>
  </w:num>
  <w:num w:numId="3" w16cid:durableId="1293515717">
    <w:abstractNumId w:val="5"/>
  </w:num>
  <w:num w:numId="4" w16cid:durableId="1859391698">
    <w:abstractNumId w:val="15"/>
  </w:num>
  <w:num w:numId="5" w16cid:durableId="642084593">
    <w:abstractNumId w:val="0"/>
  </w:num>
  <w:num w:numId="6" w16cid:durableId="224075879">
    <w:abstractNumId w:val="0"/>
  </w:num>
  <w:num w:numId="7" w16cid:durableId="1432315274">
    <w:abstractNumId w:val="16"/>
  </w:num>
  <w:num w:numId="8" w16cid:durableId="550461415">
    <w:abstractNumId w:val="10"/>
  </w:num>
  <w:num w:numId="9" w16cid:durableId="2113240567">
    <w:abstractNumId w:val="15"/>
  </w:num>
  <w:num w:numId="10" w16cid:durableId="319046138">
    <w:abstractNumId w:val="19"/>
  </w:num>
  <w:num w:numId="11" w16cid:durableId="989089676">
    <w:abstractNumId w:val="13"/>
  </w:num>
  <w:num w:numId="12" w16cid:durableId="3017690">
    <w:abstractNumId w:val="3"/>
  </w:num>
  <w:num w:numId="13" w16cid:durableId="1136416161">
    <w:abstractNumId w:val="6"/>
  </w:num>
  <w:num w:numId="14" w16cid:durableId="1598631832">
    <w:abstractNumId w:val="4"/>
  </w:num>
  <w:num w:numId="15" w16cid:durableId="1873760530">
    <w:abstractNumId w:val="9"/>
  </w:num>
  <w:num w:numId="16" w16cid:durableId="1043483843">
    <w:abstractNumId w:val="2"/>
  </w:num>
  <w:num w:numId="17" w16cid:durableId="2081756601">
    <w:abstractNumId w:val="14"/>
  </w:num>
  <w:num w:numId="18" w16cid:durableId="405349453">
    <w:abstractNumId w:val="1"/>
  </w:num>
  <w:num w:numId="19" w16cid:durableId="1503083248">
    <w:abstractNumId w:val="18"/>
  </w:num>
  <w:num w:numId="20" w16cid:durableId="1899658392">
    <w:abstractNumId w:val="17"/>
  </w:num>
  <w:num w:numId="21" w16cid:durableId="880744961">
    <w:abstractNumId w:val="11"/>
  </w:num>
  <w:num w:numId="22" w16cid:durableId="1932346878">
    <w:abstractNumId w:val="8"/>
  </w:num>
  <w:num w:numId="23" w16cid:durableId="1922060479">
    <w:abstractNumId w:val="12"/>
  </w:num>
  <w:num w:numId="24" w16cid:durableId="6954731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E0C"/>
    <w:rsid w:val="00096B39"/>
    <w:rsid w:val="000A01A1"/>
    <w:rsid w:val="000A079F"/>
    <w:rsid w:val="000A2454"/>
    <w:rsid w:val="000A3320"/>
    <w:rsid w:val="000A7241"/>
    <w:rsid w:val="000B02CB"/>
    <w:rsid w:val="000B0815"/>
    <w:rsid w:val="000B126F"/>
    <w:rsid w:val="000B2590"/>
    <w:rsid w:val="000B2839"/>
    <w:rsid w:val="000B423B"/>
    <w:rsid w:val="000B4E71"/>
    <w:rsid w:val="000B5698"/>
    <w:rsid w:val="000B7979"/>
    <w:rsid w:val="000B7E38"/>
    <w:rsid w:val="000C2824"/>
    <w:rsid w:val="000C3A07"/>
    <w:rsid w:val="000C66F4"/>
    <w:rsid w:val="000C686C"/>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A63"/>
    <w:rsid w:val="000F52F1"/>
    <w:rsid w:val="0010261C"/>
    <w:rsid w:val="0011068A"/>
    <w:rsid w:val="00110BB5"/>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2F95"/>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DCF"/>
    <w:rsid w:val="002D0E31"/>
    <w:rsid w:val="002D53D0"/>
    <w:rsid w:val="002D55EE"/>
    <w:rsid w:val="002D5B0B"/>
    <w:rsid w:val="002D7553"/>
    <w:rsid w:val="002D7D5D"/>
    <w:rsid w:val="002E1978"/>
    <w:rsid w:val="002F3C3E"/>
    <w:rsid w:val="002F4672"/>
    <w:rsid w:val="002F4D26"/>
    <w:rsid w:val="002F7FE1"/>
    <w:rsid w:val="0030072A"/>
    <w:rsid w:val="00301CD4"/>
    <w:rsid w:val="0030215B"/>
    <w:rsid w:val="003030A5"/>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48AD"/>
    <w:rsid w:val="003349E9"/>
    <w:rsid w:val="00340B62"/>
    <w:rsid w:val="00340CC3"/>
    <w:rsid w:val="00340F1E"/>
    <w:rsid w:val="003434BE"/>
    <w:rsid w:val="00343BA2"/>
    <w:rsid w:val="00352217"/>
    <w:rsid w:val="00352232"/>
    <w:rsid w:val="003534E4"/>
    <w:rsid w:val="003562DD"/>
    <w:rsid w:val="00357BA9"/>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A7865"/>
    <w:rsid w:val="003B0E81"/>
    <w:rsid w:val="003B1ACA"/>
    <w:rsid w:val="003B36F8"/>
    <w:rsid w:val="003B3C9E"/>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0551E"/>
    <w:rsid w:val="004133CB"/>
    <w:rsid w:val="00414A12"/>
    <w:rsid w:val="00414DCA"/>
    <w:rsid w:val="00416E03"/>
    <w:rsid w:val="00423EAC"/>
    <w:rsid w:val="00423F56"/>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6FE6"/>
    <w:rsid w:val="004F7576"/>
    <w:rsid w:val="005004EB"/>
    <w:rsid w:val="005025FA"/>
    <w:rsid w:val="00506008"/>
    <w:rsid w:val="00506A7D"/>
    <w:rsid w:val="00523801"/>
    <w:rsid w:val="00523A75"/>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60F8"/>
    <w:rsid w:val="00786685"/>
    <w:rsid w:val="00786CFC"/>
    <w:rsid w:val="00792FC8"/>
    <w:rsid w:val="00795231"/>
    <w:rsid w:val="00795B75"/>
    <w:rsid w:val="00795C42"/>
    <w:rsid w:val="007976B7"/>
    <w:rsid w:val="0079794B"/>
    <w:rsid w:val="00797C88"/>
    <w:rsid w:val="007A0AC2"/>
    <w:rsid w:val="007A2FDF"/>
    <w:rsid w:val="007A3EC8"/>
    <w:rsid w:val="007A3F3A"/>
    <w:rsid w:val="007A42FA"/>
    <w:rsid w:val="007A703A"/>
    <w:rsid w:val="007B009A"/>
    <w:rsid w:val="007B10E7"/>
    <w:rsid w:val="007B2CBF"/>
    <w:rsid w:val="007B3397"/>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A99"/>
    <w:rsid w:val="007E5F21"/>
    <w:rsid w:val="007E6B31"/>
    <w:rsid w:val="007F17FC"/>
    <w:rsid w:val="007F3459"/>
    <w:rsid w:val="007F45BD"/>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176E"/>
    <w:rsid w:val="008867A8"/>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0018"/>
    <w:rsid w:val="009A1D31"/>
    <w:rsid w:val="009A50D5"/>
    <w:rsid w:val="009A52B0"/>
    <w:rsid w:val="009A6C62"/>
    <w:rsid w:val="009B45DC"/>
    <w:rsid w:val="009B4DFB"/>
    <w:rsid w:val="009B528A"/>
    <w:rsid w:val="009C195C"/>
    <w:rsid w:val="009C2989"/>
    <w:rsid w:val="009C3228"/>
    <w:rsid w:val="009C73DD"/>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5900"/>
    <w:rsid w:val="00A46703"/>
    <w:rsid w:val="00A473DB"/>
    <w:rsid w:val="00A51D5A"/>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83A"/>
    <w:rsid w:val="00A85DD8"/>
    <w:rsid w:val="00A86E69"/>
    <w:rsid w:val="00A8767E"/>
    <w:rsid w:val="00A91703"/>
    <w:rsid w:val="00A94C78"/>
    <w:rsid w:val="00A950D4"/>
    <w:rsid w:val="00A9648D"/>
    <w:rsid w:val="00AA0774"/>
    <w:rsid w:val="00AA595D"/>
    <w:rsid w:val="00AB0F02"/>
    <w:rsid w:val="00AB3AB2"/>
    <w:rsid w:val="00AB44FB"/>
    <w:rsid w:val="00AB5097"/>
    <w:rsid w:val="00AB67CA"/>
    <w:rsid w:val="00AB7231"/>
    <w:rsid w:val="00AC1318"/>
    <w:rsid w:val="00AC3CD2"/>
    <w:rsid w:val="00AC3F39"/>
    <w:rsid w:val="00AC4D67"/>
    <w:rsid w:val="00AC6DCC"/>
    <w:rsid w:val="00AC6EBD"/>
    <w:rsid w:val="00AC7C14"/>
    <w:rsid w:val="00AD0BD3"/>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2050B"/>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4ACB"/>
    <w:rsid w:val="00B6677A"/>
    <w:rsid w:val="00B70396"/>
    <w:rsid w:val="00B7497F"/>
    <w:rsid w:val="00B75A91"/>
    <w:rsid w:val="00B8158F"/>
    <w:rsid w:val="00B83111"/>
    <w:rsid w:val="00B83FAD"/>
    <w:rsid w:val="00B856FC"/>
    <w:rsid w:val="00B87221"/>
    <w:rsid w:val="00B87BC2"/>
    <w:rsid w:val="00B90BD9"/>
    <w:rsid w:val="00B953C5"/>
    <w:rsid w:val="00B95538"/>
    <w:rsid w:val="00B95A4D"/>
    <w:rsid w:val="00B97022"/>
    <w:rsid w:val="00B973F9"/>
    <w:rsid w:val="00BA04DA"/>
    <w:rsid w:val="00BA0F96"/>
    <w:rsid w:val="00BA1B1A"/>
    <w:rsid w:val="00BA38FD"/>
    <w:rsid w:val="00BB24AA"/>
    <w:rsid w:val="00BB3BA7"/>
    <w:rsid w:val="00BB5CE6"/>
    <w:rsid w:val="00BB687B"/>
    <w:rsid w:val="00BC1926"/>
    <w:rsid w:val="00BC1F47"/>
    <w:rsid w:val="00BC3CD6"/>
    <w:rsid w:val="00BD44AD"/>
    <w:rsid w:val="00BD605B"/>
    <w:rsid w:val="00BE1D59"/>
    <w:rsid w:val="00BE48AD"/>
    <w:rsid w:val="00BE5222"/>
    <w:rsid w:val="00BE5FFF"/>
    <w:rsid w:val="00BE630C"/>
    <w:rsid w:val="00BF27AD"/>
    <w:rsid w:val="00BF2958"/>
    <w:rsid w:val="00C0026D"/>
    <w:rsid w:val="00C02034"/>
    <w:rsid w:val="00C06E52"/>
    <w:rsid w:val="00C076A9"/>
    <w:rsid w:val="00C106A8"/>
    <w:rsid w:val="00C12F98"/>
    <w:rsid w:val="00C13BC1"/>
    <w:rsid w:val="00C16EB0"/>
    <w:rsid w:val="00C172F3"/>
    <w:rsid w:val="00C17C32"/>
    <w:rsid w:val="00C2073D"/>
    <w:rsid w:val="00C22157"/>
    <w:rsid w:val="00C22AAB"/>
    <w:rsid w:val="00C23299"/>
    <w:rsid w:val="00C2329C"/>
    <w:rsid w:val="00C23763"/>
    <w:rsid w:val="00C26659"/>
    <w:rsid w:val="00C319CE"/>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BD"/>
    <w:rsid w:val="00C63EA6"/>
    <w:rsid w:val="00C6417A"/>
    <w:rsid w:val="00C721C3"/>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5F5C"/>
    <w:rsid w:val="00D61D2E"/>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97FF5"/>
    <w:rsid w:val="00DA3F61"/>
    <w:rsid w:val="00DA62B0"/>
    <w:rsid w:val="00DB25D6"/>
    <w:rsid w:val="00DB3859"/>
    <w:rsid w:val="00DB5E03"/>
    <w:rsid w:val="00DB6079"/>
    <w:rsid w:val="00DB6370"/>
    <w:rsid w:val="00DB66D9"/>
    <w:rsid w:val="00DB73D0"/>
    <w:rsid w:val="00DB7874"/>
    <w:rsid w:val="00DC0AF9"/>
    <w:rsid w:val="00DC1200"/>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B33"/>
    <w:rsid w:val="00E608CF"/>
    <w:rsid w:val="00E623FC"/>
    <w:rsid w:val="00E63278"/>
    <w:rsid w:val="00E64A97"/>
    <w:rsid w:val="00E66F64"/>
    <w:rsid w:val="00E67459"/>
    <w:rsid w:val="00E711EA"/>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CE1"/>
    <w:rsid w:val="00E96043"/>
    <w:rsid w:val="00E97CB9"/>
    <w:rsid w:val="00EA031B"/>
    <w:rsid w:val="00EA212A"/>
    <w:rsid w:val="00EA2BBC"/>
    <w:rsid w:val="00EA3297"/>
    <w:rsid w:val="00EA3BAC"/>
    <w:rsid w:val="00EB19B1"/>
    <w:rsid w:val="00EB2CC4"/>
    <w:rsid w:val="00EB3EF4"/>
    <w:rsid w:val="00EB4330"/>
    <w:rsid w:val="00EB4649"/>
    <w:rsid w:val="00EB62E5"/>
    <w:rsid w:val="00EC25EB"/>
    <w:rsid w:val="00EC3404"/>
    <w:rsid w:val="00EC4DB8"/>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836"/>
    <w:rsid w:val="00FE1F7F"/>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F6290BD8-8DBB-4E63-AEA2-DFB8CE7E4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4</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377</cp:revision>
  <dcterms:created xsi:type="dcterms:W3CDTF">2022-02-10T15:51:00Z</dcterms:created>
  <dcterms:modified xsi:type="dcterms:W3CDTF">2022-08-10T08:08:00Z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